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REZVAN MITRA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SAILPOINT,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11120 FOUR POINTS DR.,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SailPoint,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SAIL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4"/>
                <w:szCs w:val="14"/>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9"/>
              </w:rPr>
              <w:t>AUSTIN,</w:t>
            </w:r>
          </w:p>
        </w:tc>
        <w:tc>
          <w:tcPr>
            <w:tcW w:w="780" w:type="dxa"/>
            <w:vAlign w:val="bottom"/>
            <w:vMerge w:val="restart"/>
          </w:tcPr>
          <w:p>
            <w:pPr>
              <w:ind w:left="5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78726</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20" w:type="dxa"/>
            <w:vAlign w:val="bottom"/>
            <w:gridSpan w:val="2"/>
            <w:vMerge w:val="restart"/>
          </w:tcPr>
          <w:p>
            <w:pPr>
              <w:ind w:left="5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7,487</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line="319" w:lineRule="exact"/>
              <w:rPr>
                <w:sz w:val="20"/>
                <w:szCs w:val="20"/>
                <w:color w:val="auto"/>
              </w:rPr>
            </w:pPr>
            <w:r>
              <w:rPr>
                <w:rFonts w:ascii="Arial" w:cs="Arial" w:eastAsia="Arial" w:hAnsi="Arial"/>
                <w:sz w:val="34"/>
                <w:szCs w:val="34"/>
                <w:color w:val="000000"/>
                <w:w w:val="87"/>
                <w:vertAlign w:val="subscript"/>
              </w:rPr>
              <w:t>$</w:t>
            </w:r>
            <w:r>
              <w:rPr>
                <w:rFonts w:ascii="Times New Roman" w:cs="Times New Roman" w:eastAsia="Times New Roman" w:hAnsi="Times New Roman"/>
                <w:sz w:val="34"/>
                <w:szCs w:val="34"/>
                <w:color w:val="0000FF"/>
                <w:w w:val="87"/>
                <w:vertAlign w:val="subscript"/>
              </w:rPr>
              <w:t>20</w:t>
            </w:r>
            <w:r>
              <w:rPr>
                <w:rFonts w:ascii="Times New Roman" w:cs="Times New Roman" w:eastAsia="Times New Roman" w:hAnsi="Times New Roman"/>
                <w:sz w:val="11"/>
                <w:szCs w:val="11"/>
                <w:color w:val="008000"/>
                <w:w w:val="87"/>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189,476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December 26, 2025 (the "10b5-1 Plan"). The number of shares to be sold under the 10b5-1 Plan is based on a designated percentage (ranging from 10% to 30%) of the net number of shares resulting from equity vestings on the dates specified in the 10b5-1 Plan, which terminates no later than January 31, 2027, regardless of whether the maximum number of shares have been sold.</w:t>
      </w:r>
    </w:p>
    <w:p>
      <w:pPr>
        <w:spacing w:after="0" w:line="2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 2026, pursuant to the 10b5-1 Plan, the reporting person sold 7,487 shares in multiple trades, each at $20 per share. The reporting person hereby undertakes to provide to the Securities and Exchange Commission staff, the Issuer, or any security holder of the Issuer, upon request, full information regarding the number of shares and prices at which the trades were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Ryan Clyde, attorney-in-</w:t>
            </w:r>
          </w:p>
        </w:tc>
        <w:tc>
          <w:tcPr>
            <w:tcW w:w="1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17246" TargetMode="External"/><Relationship Id="rId14" Type="http://schemas.openxmlformats.org/officeDocument/2006/relationships/hyperlink" Target="http://www.sec.gov/cgi-bin/browse-edgar?action=getcompany&amp;CIK=00020307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2026-06-02T17:12:42Z</dcterms:created>
  <dcterms:modified xsi:type="dcterms:W3CDTF">2026-06-02T17:12:42Z</dcterms:modified>
</cp:coreProperties>
</file>