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770255</wp:posOffset>
            </wp:positionV>
            <wp:extent cx="7137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795020</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6"/>
          <w:szCs w:val="6"/>
          <w:b w:val="1"/>
          <w:bCs w:val="1"/>
          <w:color w:val="auto"/>
        </w:rPr>
        <w:t>________________________________________________________________</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1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6"/>
          <w:szCs w:val="6"/>
          <w:b w:val="1"/>
          <w:bCs w:val="1"/>
          <w:color w:val="auto"/>
        </w:rPr>
        <w:t>________________________________________________________________</w:t>
      </w:r>
    </w:p>
    <w:p>
      <w:pPr>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55" w:lineRule="exact"/>
        <w:rPr>
          <w:sz w:val="24"/>
          <w:szCs w:val="24"/>
          <w:color w:val="auto"/>
        </w:rPr>
      </w:pPr>
    </w:p>
    <w:p>
      <w:pPr>
        <w:ind w:left="360" w:hanging="339"/>
        <w:spacing w:after="0"/>
        <w:tabs>
          <w:tab w:leader="none" w:pos="3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April 30, 2026</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4" w:lineRule="exact"/>
        <w:rPr>
          <w:sz w:val="24"/>
          <w:szCs w:val="24"/>
          <w:color w:val="auto"/>
        </w:rPr>
      </w:pPr>
    </w:p>
    <w:p>
      <w:pPr>
        <w:ind w:left="340" w:hanging="319"/>
        <w:spacing w:after="0"/>
        <w:tabs>
          <w:tab w:leader="none" w:pos="3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21" w:lineRule="exact"/>
        <w:rPr>
          <w:sz w:val="24"/>
          <w:szCs w:val="24"/>
          <w:color w:val="auto"/>
        </w:rPr>
      </w:pPr>
    </w:p>
    <w:p>
      <w:pPr>
        <w:ind w:left="4300"/>
        <w:spacing w:after="0"/>
        <w:tabs>
          <w:tab w:leader="none" w:pos="682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001-42522</w:t>
      </w:r>
    </w:p>
    <w:p>
      <w:pPr>
        <w:spacing w:after="0" w:line="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________________________________________________________________</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SailPoint, Inc.</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4"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6"/>
          <w:szCs w:val="6"/>
          <w:b w:val="1"/>
          <w:bCs w:val="1"/>
          <w:color w:val="auto"/>
        </w:rPr>
        <w:t>________________________________________________________________</w:t>
      </w:r>
    </w:p>
    <w:p>
      <w:pPr>
        <w:spacing w:after="0" w:line="81" w:lineRule="exact"/>
        <w:rPr>
          <w:sz w:val="24"/>
          <w:szCs w:val="24"/>
          <w:color w:val="auto"/>
        </w:rPr>
      </w:pPr>
    </w:p>
    <w:p>
      <w:pPr>
        <w:jc w:val="both"/>
        <w:ind w:left="2280"/>
        <w:spacing w:after="0"/>
        <w:tabs>
          <w:tab w:leader="none" w:pos="814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88-2001765</w:t>
      </w:r>
    </w:p>
    <w:p>
      <w:pPr>
        <w:spacing w:after="0" w:line="10" w:lineRule="exact"/>
        <w:rPr>
          <w:sz w:val="24"/>
          <w:szCs w:val="24"/>
          <w:color w:val="auto"/>
        </w:rPr>
      </w:pPr>
    </w:p>
    <w:p>
      <w:pPr>
        <w:jc w:val="right"/>
        <w:ind w:right="2260"/>
        <w:spacing w:after="0"/>
        <w:tabs>
          <w:tab w:leader="none" w:pos="900" w:val="left"/>
        </w:tabs>
        <w:rPr>
          <w:sz w:val="20"/>
          <w:szCs w:val="20"/>
          <w:color w:val="auto"/>
        </w:rPr>
      </w:pPr>
      <w:r>
        <w:rPr>
          <w:rFonts w:ascii="Times New Roman" w:cs="Times New Roman" w:eastAsia="Times New Roman" w:hAnsi="Times New Roman"/>
          <w:sz w:val="12"/>
          <w:szCs w:val="12"/>
          <w:b w:val="1"/>
          <w:bCs w:val="1"/>
          <w:color w:val="auto"/>
        </w:rPr>
        <w:t>(State or other jurisdiction of</w:t>
      </w:r>
      <w:r>
        <w:rPr>
          <w:sz w:val="20"/>
          <w:szCs w:val="20"/>
          <w:color w:val="auto"/>
        </w:rPr>
        <w:tab/>
      </w:r>
      <w:r>
        <w:rPr>
          <w:rFonts w:ascii="Times New Roman" w:cs="Times New Roman" w:eastAsia="Times New Roman" w:hAnsi="Times New Roman"/>
          <w:sz w:val="12"/>
          <w:szCs w:val="12"/>
          <w:b w:val="1"/>
          <w:bCs w:val="1"/>
          <w:color w:val="auto"/>
        </w:rPr>
        <w:t>(I.R.S. Employer</w:t>
      </w:r>
    </w:p>
    <w:p>
      <w:pPr>
        <w:spacing w:after="0" w:line="6" w:lineRule="exact"/>
        <w:rPr>
          <w:sz w:val="24"/>
          <w:szCs w:val="24"/>
          <w:color w:val="auto"/>
        </w:rPr>
      </w:pPr>
    </w:p>
    <w:p>
      <w:pPr>
        <w:jc w:val="right"/>
        <w:ind w:right="2220"/>
        <w:spacing w:after="0"/>
        <w:tabs>
          <w:tab w:leader="none" w:pos="940" w:val="left"/>
        </w:tabs>
        <w:rPr>
          <w:sz w:val="20"/>
          <w:szCs w:val="20"/>
          <w:color w:val="auto"/>
        </w:rPr>
      </w:pPr>
      <w:r>
        <w:rPr>
          <w:rFonts w:ascii="Times New Roman" w:cs="Times New Roman" w:eastAsia="Times New Roman" w:hAnsi="Times New Roman"/>
          <w:sz w:val="12"/>
          <w:szCs w:val="12"/>
          <w:b w:val="1"/>
          <w:bCs w:val="1"/>
          <w:color w:val="auto"/>
        </w:rPr>
        <w:t>incorporation or organization)</w:t>
      </w:r>
      <w:r>
        <w:rPr>
          <w:sz w:val="20"/>
          <w:szCs w:val="20"/>
          <w:color w:val="auto"/>
        </w:rPr>
        <w:tab/>
      </w:r>
      <w:r>
        <w:rPr>
          <w:rFonts w:ascii="Times New Roman" w:cs="Times New Roman" w:eastAsia="Times New Roman" w:hAnsi="Times New Roman"/>
          <w:sz w:val="12"/>
          <w:szCs w:val="12"/>
          <w:b w:val="1"/>
          <w:bCs w:val="1"/>
          <w:color w:val="auto"/>
        </w:rPr>
        <w:t>Identification No.)</w:t>
      </w:r>
    </w:p>
    <w:p>
      <w:pPr>
        <w:sectPr>
          <w:pgSz w:w="11900" w:h="16838" w:orient="portrait"/>
          <w:cols w:equalWidth="0" w:num="1">
            <w:col w:w="11240"/>
          </w:cols>
          <w:pgMar w:left="320" w:top="225" w:right="339" w:bottom="1440" w:gutter="0" w:footer="0" w:header="0"/>
        </w:sectPr>
      </w:pPr>
    </w:p>
    <w:p>
      <w:pPr>
        <w:spacing w:after="0" w:line="83"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6"/>
          <w:szCs w:val="16"/>
          <w:b w:val="1"/>
          <w:bCs w:val="1"/>
          <w:color w:val="auto"/>
        </w:rPr>
        <w:t>11120 Four Points Drive, Suite 100</w:t>
      </w:r>
    </w:p>
    <w:p>
      <w:pPr>
        <w:spacing w:after="0" w:line="21"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6"/>
          <w:szCs w:val="16"/>
          <w:b w:val="1"/>
          <w:bCs w:val="1"/>
          <w:color w:val="auto"/>
        </w:rPr>
        <w:t>Austin, TX</w:t>
      </w:r>
    </w:p>
    <w:p>
      <w:pPr>
        <w:ind w:left="160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Pr>
          <w:p>
            <w:pPr>
              <w:jc w:val="right"/>
              <w:ind w:right="1235"/>
              <w:spacing w:after="0"/>
              <w:rPr>
                <w:sz w:val="20"/>
                <w:szCs w:val="20"/>
                <w:color w:val="auto"/>
              </w:rPr>
            </w:pPr>
            <w:r>
              <w:rPr>
                <w:rFonts w:ascii="Times New Roman" w:cs="Times New Roman" w:eastAsia="Times New Roman" w:hAnsi="Times New Roman"/>
                <w:sz w:val="16"/>
                <w:szCs w:val="16"/>
                <w:b w:val="1"/>
                <w:bCs w:val="1"/>
                <w:color w:val="auto"/>
              </w:rPr>
              <w:t>(512) 346-2000</w:t>
            </w:r>
          </w:p>
        </w:tc>
      </w:tr>
      <w:tr>
        <w:trPr>
          <w:trHeight w:val="159"/>
        </w:trPr>
        <w:tc>
          <w:tcPr>
            <w:tcW w:w="3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60" w:type="dxa"/>
            <w:vAlign w:val="bottom"/>
          </w:tcPr>
          <w:p>
            <w:pPr>
              <w:jc w:val="center"/>
              <w:ind w:left="15"/>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tc>
      </w:tr>
      <w:tr>
        <w:trPr>
          <w:trHeight w:val="137"/>
        </w:trPr>
        <w:tc>
          <w:tcPr>
            <w:tcW w:w="3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60" w:type="dxa"/>
            <w:vAlign w:val="bottom"/>
          </w:tcPr>
          <w:p>
            <w:pPr>
              <w:jc w:val="right"/>
              <w:ind w:right="75"/>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________________________________________________________________</w:t>
            </w:r>
          </w:p>
        </w:tc>
      </w:tr>
      <w:tr>
        <w:trPr>
          <w:trHeight w:val="220"/>
        </w:trPr>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Securities registered pursuant to Section 12(b) of the Act:</w:t>
            </w:r>
          </w:p>
        </w:tc>
      </w:tr>
      <w:tr>
        <w:trPr>
          <w:trHeight w:val="217"/>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3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174"/>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Common stock, par value $0.0001 per share</w:t>
            </w:r>
          </w:p>
        </w:tc>
        <w:tc>
          <w:tcPr>
            <w:tcW w:w="3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SAIL</w:t>
            </w:r>
          </w:p>
        </w:tc>
      </w:tr>
    </w:tbl>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6"/>
          <w:szCs w:val="16"/>
          <w:b w:val="1"/>
          <w:bCs w:val="1"/>
          <w:color w:val="auto"/>
        </w:rPr>
        <w:t>78726</w:t>
      </w:r>
    </w:p>
    <w:p>
      <w:pPr>
        <w:spacing w:after="0" w:line="10"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-392430</wp:posOffset>
            </wp:positionH>
            <wp:positionV relativeFrom="paragraph">
              <wp:posOffset>29845</wp:posOffset>
            </wp:positionV>
            <wp:extent cx="2326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26640" cy="8255"/>
                    </a:xfrm>
                    <a:prstGeom prst="rect">
                      <a:avLst/>
                    </a:prstGeom>
                    <a:noFill/>
                  </pic:spPr>
                </pic:pic>
              </a:graphicData>
            </a:graphic>
          </wp:anchor>
        </w:drawing>
      </w:r>
    </w:p>
    <w:p>
      <w:pPr>
        <w:spacing w:after="0" w:line="53"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3"/>
          <w:szCs w:val="13"/>
          <w:color w:val="auto"/>
        </w:rPr>
        <w:t>The Nasdaq Stock Market LLC</w:t>
      </w:r>
    </w:p>
    <w:p>
      <w:pPr>
        <w:spacing w:after="0" w:line="218" w:lineRule="exact"/>
        <w:rPr>
          <w:sz w:val="24"/>
          <w:szCs w:val="24"/>
          <w:color w:val="auto"/>
        </w:rPr>
      </w:pPr>
    </w:p>
    <w:p>
      <w:pPr>
        <w:sectPr>
          <w:pgSz w:w="11900" w:h="16838" w:orient="portrait"/>
          <w:cols w:equalWidth="0" w:num="2">
            <w:col w:w="7440" w:space="720"/>
            <w:col w:w="3080"/>
          </w:cols>
          <w:pgMar w:left="320" w:top="225" w:right="339" w:bottom="1440" w:gutter="0" w:footer="0" w:header="0"/>
          <w:type w:val="continuous"/>
        </w:sectPr>
      </w:pPr>
    </w:p>
    <w:p>
      <w:pPr>
        <w:spacing w:after="0" w:line="17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2"/>
          <w:szCs w:val="12"/>
          <w:b w:val="1"/>
          <w:bCs w:val="1"/>
          <w:color w:val="auto"/>
        </w:rPr>
        <w:t>x</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3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2"/>
          <w:szCs w:val="12"/>
          <w:b w:val="1"/>
          <w:bCs w:val="1"/>
          <w:color w:val="auto"/>
        </w:rPr>
        <w:t>x</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251" w:lineRule="exact"/>
        <w:rPr>
          <w:sz w:val="24"/>
          <w:szCs w:val="24"/>
          <w:color w:val="auto"/>
        </w:rPr>
      </w:pPr>
    </w:p>
    <w:p>
      <w:pPr>
        <w:spacing w:after="0" w:line="283"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tbl>
      <w:tblPr>
        <w:tblLayout w:type="fixed"/>
        <w:tblInd w:w="20" w:type="dxa"/>
        <w:tblCellMar>
          <w:top w:w="0" w:type="dxa"/>
          <w:left w:w="0" w:type="dxa"/>
          <w:bottom w:w="0" w:type="dxa"/>
          <w:right w:w="0" w:type="dxa"/>
        </w:tblCellMar>
      </w:tblPr>
      <w:tr>
        <w:trPr>
          <w:trHeight w:val="208"/>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72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4860" w:type="dxa"/>
            <w:vAlign w:val="bottom"/>
          </w:tcPr>
          <w:p>
            <w:pPr>
              <w:ind w:left="2960"/>
              <w:spacing w:after="0"/>
              <w:rPr>
                <w:sz w:val="20"/>
                <w:szCs w:val="20"/>
                <w:color w:val="auto"/>
              </w:rPr>
            </w:pPr>
            <w:r>
              <w:rPr>
                <w:rFonts w:ascii="Times New Roman" w:cs="Times New Roman" w:eastAsia="Times New Roman" w:hAnsi="Times New Roman"/>
                <w:sz w:val="13"/>
                <w:szCs w:val="13"/>
                <w:color w:val="auto"/>
              </w:rPr>
              <w:t>Accelerated filer</w:t>
            </w:r>
          </w:p>
        </w:tc>
        <w:tc>
          <w:tcPr>
            <w:tcW w:w="600" w:type="dxa"/>
            <w:vAlign w:val="bottom"/>
          </w:tcPr>
          <w:p>
            <w:pPr>
              <w:ind w:left="5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5"/>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720" w:type="dxa"/>
            <w:vAlign w:val="bottom"/>
          </w:tcPr>
          <w:p>
            <w:pPr>
              <w:ind w:left="620"/>
              <w:spacing w:after="0"/>
              <w:rPr>
                <w:sz w:val="20"/>
                <w:szCs w:val="20"/>
                <w:color w:val="auto"/>
              </w:rPr>
            </w:pPr>
            <w:r>
              <w:rPr>
                <w:rFonts w:ascii="Wingdings" w:cs="Wingdings" w:eastAsia="Wingdings" w:hAnsi="Wingdings"/>
                <w:sz w:val="13"/>
                <w:szCs w:val="13"/>
                <w:b w:val="1"/>
                <w:bCs w:val="1"/>
                <w:color w:val="auto"/>
              </w:rPr>
              <w:t>x</w:t>
            </w:r>
          </w:p>
        </w:tc>
        <w:tc>
          <w:tcPr>
            <w:tcW w:w="4860" w:type="dxa"/>
            <w:vAlign w:val="bottom"/>
          </w:tcPr>
          <w:p>
            <w:pPr>
              <w:ind w:left="29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00" w:type="dxa"/>
            <w:vAlign w:val="bottom"/>
          </w:tcPr>
          <w:p>
            <w:pPr>
              <w:ind w:left="5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9"/>
        </w:trPr>
        <w:tc>
          <w:tcPr>
            <w:tcW w:w="17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4860" w:type="dxa"/>
            <w:vAlign w:val="bottom"/>
          </w:tcPr>
          <w:p>
            <w:pPr>
              <w:ind w:left="2960"/>
              <w:spacing w:after="0"/>
              <w:rPr>
                <w:sz w:val="20"/>
                <w:szCs w:val="20"/>
                <w:color w:val="auto"/>
              </w:rPr>
            </w:pPr>
            <w:r>
              <w:rPr>
                <w:rFonts w:ascii="Times New Roman" w:cs="Times New Roman" w:eastAsia="Times New Roman" w:hAnsi="Times New Roman"/>
                <w:sz w:val="13"/>
                <w:szCs w:val="13"/>
                <w:color w:val="auto"/>
              </w:rPr>
              <w:t>Emerging growth company</w:t>
            </w:r>
          </w:p>
        </w:tc>
        <w:tc>
          <w:tcPr>
            <w:tcW w:w="600" w:type="dxa"/>
            <w:vAlign w:val="bottom"/>
          </w:tcPr>
          <w:p>
            <w:pPr>
              <w:ind w:left="50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1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24" w:lineRule="exact"/>
        <w:rPr>
          <w:sz w:val="24"/>
          <w:szCs w:val="24"/>
          <w:color w:val="auto"/>
        </w:rPr>
      </w:pPr>
    </w:p>
    <w:p>
      <w:pPr>
        <w:spacing w:after="0" w:line="138" w:lineRule="exact"/>
        <w:tabs>
          <w:tab w:leader="none" w:pos="5940" w:val="left"/>
        </w:tabs>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Wingdings" w:cs="Wingdings" w:eastAsia="Wingdings" w:hAnsi="Wingdings"/>
          <w:sz w:val="12"/>
          <w:szCs w:val="12"/>
          <w:b w:val="1"/>
          <w:bCs w:val="1"/>
          <w:color w:val="auto"/>
        </w:rPr>
        <w:t>x</w:t>
      </w: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The registrant had 567,182,997 shares of common stock outstanding as of June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262255</wp:posOffset>
            </wp:positionV>
            <wp:extent cx="7137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287020</wp:posOffset>
            </wp:positionV>
            <wp:extent cx="71374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center"/>
        <w:ind w:left="1140"/>
        <w:spacing w:after="0"/>
        <w:rPr>
          <w:sz w:val="20"/>
          <w:szCs w:val="20"/>
          <w:color w:val="auto"/>
        </w:rPr>
      </w:pPr>
      <w:r>
        <w:rPr>
          <w:rFonts w:ascii="Times New Roman" w:cs="Times New Roman" w:eastAsia="Times New Roman" w:hAnsi="Times New Roman"/>
          <w:sz w:val="17"/>
          <w:szCs w:val="17"/>
          <w:b w:val="1"/>
          <w:bCs w:val="1"/>
          <w:color w:val="auto"/>
        </w:rPr>
        <w:t>SailPoint, Inc.</w:t>
      </w:r>
    </w:p>
    <w:p>
      <w:pPr>
        <w:spacing w:after="0" w:line="33" w:lineRule="exact"/>
        <w:rPr>
          <w:sz w:val="20"/>
          <w:szCs w:val="20"/>
          <w:color w:val="auto"/>
        </w:rPr>
      </w:pPr>
    </w:p>
    <w:p>
      <w:pPr>
        <w:jc w:val="center"/>
        <w:ind w:left="1140"/>
        <w:spacing w:after="0"/>
        <w:rPr>
          <w:sz w:val="20"/>
          <w:szCs w:val="20"/>
          <w:color w:val="auto"/>
        </w:rPr>
      </w:pPr>
      <w:r>
        <w:rPr>
          <w:rFonts w:ascii="Times New Roman" w:cs="Times New Roman" w:eastAsia="Times New Roman" w:hAnsi="Times New Roman"/>
          <w:sz w:val="17"/>
          <w:szCs w:val="17"/>
          <w:b w:val="1"/>
          <w:bCs w:val="1"/>
          <w:color w:val="auto"/>
        </w:rPr>
        <w:t>Quarterly Report on Form 10-Q</w:t>
      </w:r>
    </w:p>
    <w:p>
      <w:pPr>
        <w:spacing w:after="0" w:line="226" w:lineRule="exact"/>
        <w:rPr>
          <w:sz w:val="20"/>
          <w:szCs w:val="20"/>
          <w:color w:val="auto"/>
        </w:rPr>
      </w:pPr>
    </w:p>
    <w:p>
      <w:pPr>
        <w:jc w:val="center"/>
        <w:ind w:left="114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u w:val="single" w:color="auto"/>
          <w:color w:val="0000FF"/>
        </w:rPr>
        <w:t>PART I</w:t>
      </w:r>
    </w:p>
    <w:p>
      <w:pPr>
        <w:spacing w:after="0" w:line="66"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7"/>
          <w:szCs w:val="17"/>
          <w:color w:val="auto"/>
        </w:rPr>
        <w:t>Item 1.</w:t>
      </w:r>
      <w:r>
        <w:rPr>
          <w:sz w:val="20"/>
          <w:szCs w:val="20"/>
          <w:color w:val="auto"/>
        </w:rPr>
        <w:tab/>
      </w:r>
      <w:r>
        <w:rPr>
          <w:rFonts w:ascii="Times New Roman" w:cs="Times New Roman" w:eastAsia="Times New Roman" w:hAnsi="Times New Roman"/>
          <w:sz w:val="17"/>
          <w:szCs w:val="17"/>
          <w:u w:val="single" w:color="auto"/>
          <w:color w:val="0000FF"/>
        </w:rPr>
        <w:t>Financial Statements (Unaudited)</w:t>
      </w:r>
    </w:p>
    <w:p>
      <w:pPr>
        <w:spacing w:after="0" w:line="6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u w:val="single" w:color="auto"/>
          <w:color w:val="0000FF"/>
        </w:rPr>
        <w:t>Condensed Consolidated Balance Sheets</w:t>
      </w:r>
    </w:p>
    <w:p>
      <w:pPr>
        <w:spacing w:after="0" w:line="9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u w:val="single" w:color="auto"/>
          <w:color w:val="0000FF"/>
        </w:rPr>
        <w:t>Condensed Consolidated Statements of Operations</w:t>
      </w:r>
    </w:p>
    <w:p>
      <w:pPr>
        <w:spacing w:after="0" w:line="64" w:lineRule="exact"/>
        <w:rPr>
          <w:sz w:val="20"/>
          <w:szCs w:val="20"/>
          <w:color w:val="auto"/>
        </w:rPr>
      </w:pPr>
    </w:p>
    <w:p>
      <w:pPr>
        <w:ind w:left="940" w:right="1280"/>
        <w:spacing w:after="0" w:line="319" w:lineRule="auto"/>
        <w:rPr>
          <w:sz w:val="20"/>
          <w:szCs w:val="20"/>
          <w:color w:val="auto"/>
        </w:rPr>
      </w:pPr>
      <w:r>
        <w:rPr>
          <w:rFonts w:ascii="Times New Roman" w:cs="Times New Roman" w:eastAsia="Times New Roman" w:hAnsi="Times New Roman"/>
          <w:sz w:val="17"/>
          <w:szCs w:val="17"/>
          <w:u w:val="single" w:color="auto"/>
          <w:color w:val="0000FF"/>
        </w:rPr>
        <w:t>Condensed Consolidated Statements of Redeemable Convertible Units, Stockholders' Equity and Partner's Deficit Condensed Consolidated Statements of Cash Flows</w:t>
      </w:r>
    </w:p>
    <w:p>
      <w:pPr>
        <w:ind w:left="940"/>
        <w:spacing w:after="0"/>
        <w:rPr>
          <w:sz w:val="20"/>
          <w:szCs w:val="20"/>
          <w:color w:val="auto"/>
        </w:rPr>
      </w:pPr>
      <w:r>
        <w:rPr>
          <w:rFonts w:ascii="Times New Roman" w:cs="Times New Roman" w:eastAsia="Times New Roman" w:hAnsi="Times New Roman"/>
          <w:sz w:val="17"/>
          <w:szCs w:val="17"/>
          <w:u w:val="single" w:color="auto"/>
          <w:color w:val="0000FF"/>
        </w:rPr>
        <w:t>Notes to Condensed Consolidated Financial Statements (Unaudited)</w:t>
      </w:r>
    </w:p>
    <w:p>
      <w:pPr>
        <w:spacing w:after="0" w:line="6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u w:val="single" w:color="auto"/>
          <w:color w:val="0000FF"/>
        </w:rPr>
        <w:t>Special Note About Forward-Looking Statements</w:t>
      </w:r>
    </w:p>
    <w:p>
      <w:pPr>
        <w:spacing w:after="0" w:line="38"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7"/>
          <w:szCs w:val="17"/>
          <w:color w:val="auto"/>
        </w:rPr>
        <w:t>Item 2.</w:t>
      </w:r>
      <w:r>
        <w:rPr>
          <w:sz w:val="20"/>
          <w:szCs w:val="20"/>
          <w:color w:val="auto"/>
        </w:rPr>
        <w:tab/>
      </w: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64"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7"/>
          <w:szCs w:val="17"/>
          <w:color w:val="auto"/>
        </w:rPr>
        <w:t>Item 3.</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64"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7"/>
          <w:szCs w:val="17"/>
          <w:color w:val="auto"/>
        </w:rPr>
        <w:t>Item 4.</w:t>
      </w:r>
      <w:r>
        <w:rPr>
          <w:sz w:val="20"/>
          <w:szCs w:val="20"/>
          <w:color w:val="auto"/>
        </w:rPr>
        <w:tab/>
      </w:r>
      <w:r>
        <w:rPr>
          <w:rFonts w:ascii="Times New Roman" w:cs="Times New Roman" w:eastAsia="Times New Roman" w:hAnsi="Times New Roman"/>
          <w:sz w:val="17"/>
          <w:szCs w:val="17"/>
          <w:u w:val="single" w:color="auto"/>
          <w:color w:val="0000FF"/>
        </w:rPr>
        <w:t>Controls and Procedures</w:t>
      </w:r>
    </w:p>
    <w:p>
      <w:pPr>
        <w:spacing w:after="0" w:line="32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u w:val="single" w:color="auto"/>
          <w:color w:val="0000FF"/>
        </w:rPr>
        <w:t>PART 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3</w:t>
      </w:r>
    </w:p>
    <w:p>
      <w:pPr>
        <w:spacing w:after="0" w:line="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4</w:t>
      </w:r>
    </w:p>
    <w:p>
      <w:pPr>
        <w:spacing w:after="0" w:line="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5</w:t>
      </w:r>
    </w:p>
    <w:p>
      <w:pPr>
        <w:spacing w:after="0" w:line="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6</w:t>
      </w:r>
    </w:p>
    <w:p>
      <w:pPr>
        <w:spacing w:after="0" w:line="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8</w:t>
      </w:r>
    </w:p>
    <w:p>
      <w:pPr>
        <w:spacing w:after="0" w:line="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20</w:t>
      </w:r>
    </w:p>
    <w:p>
      <w:pPr>
        <w:spacing w:after="0" w:line="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21</w:t>
      </w:r>
    </w:p>
    <w:p>
      <w:pPr>
        <w:spacing w:after="0" w:line="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36</w:t>
      </w:r>
    </w:p>
    <w:p>
      <w:pPr>
        <w:spacing w:after="0" w:line="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36</w:t>
      </w:r>
    </w:p>
    <w:p>
      <w:pPr>
        <w:spacing w:after="0" w:line="575" w:lineRule="exact"/>
        <w:rPr>
          <w:sz w:val="20"/>
          <w:szCs w:val="20"/>
          <w:color w:val="auto"/>
        </w:rPr>
      </w:pPr>
    </w:p>
    <w:p>
      <w:pPr>
        <w:sectPr>
          <w:pgSz w:w="11900" w:h="16838" w:orient="portrait"/>
          <w:cols w:equalWidth="0" w:num="2">
            <w:col w:w="10100" w:space="720"/>
            <w:col w:w="400"/>
          </w:cols>
          <w:pgMar w:left="320" w:top="121" w:right="359" w:bottom="1440" w:gutter="0" w:footer="0" w:header="0"/>
        </w:sectPr>
      </w:pPr>
    </w:p>
    <w:tbl>
      <w:tblPr>
        <w:tblLayout w:type="fixed"/>
        <w:tblInd w:w="20" w:type="dxa"/>
        <w:tblCellMar>
          <w:top w:w="0" w:type="dxa"/>
          <w:left w:w="0" w:type="dxa"/>
          <w:bottom w:w="0" w:type="dxa"/>
          <w:right w:w="0" w:type="dxa"/>
        </w:tblCellMar>
      </w:tblPr>
      <w:tr>
        <w:trPr>
          <w:trHeight w:val="195"/>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1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8420" w:type="dxa"/>
            <w:vAlign w:val="bottom"/>
            <w:gridSpan w:val="3"/>
          </w:tcPr>
          <w:p>
            <w:pPr>
              <w:spacing w:after="0"/>
              <w:rPr>
                <w:sz w:val="17"/>
                <w:szCs w:val="17"/>
                <w:color w:val="auto"/>
              </w:rPr>
            </w:pP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37</w:t>
            </w:r>
          </w:p>
        </w:tc>
      </w:tr>
      <w:tr>
        <w:trPr>
          <w:trHeight w:val="240"/>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1A.</w:t>
            </w:r>
          </w:p>
        </w:tc>
        <w:tc>
          <w:tcPr>
            <w:tcW w:w="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9240" w:type="dxa"/>
            <w:vAlign w:val="bottom"/>
            <w:gridSpan w:val="6"/>
          </w:tcPr>
          <w:p>
            <w:pPr>
              <w:spacing w:after="0"/>
              <w:rPr>
                <w:sz w:val="20"/>
                <w:szCs w:val="20"/>
                <w:color w:val="auto"/>
              </w:rPr>
            </w:pP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37</w:t>
            </w:r>
          </w:p>
        </w:tc>
      </w:tr>
      <w:tr>
        <w:trPr>
          <w:trHeight w:val="240"/>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2.</w:t>
            </w:r>
          </w:p>
        </w:tc>
        <w:tc>
          <w:tcPr>
            <w:tcW w:w="101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37</w:t>
            </w:r>
          </w:p>
        </w:tc>
      </w:tr>
      <w:tr>
        <w:trPr>
          <w:trHeight w:val="240"/>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3.</w:t>
            </w:r>
          </w:p>
        </w:tc>
        <w:tc>
          <w:tcPr>
            <w:tcW w:w="101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82"/>
              </w:rPr>
              <w:t>37</w:t>
            </w:r>
          </w:p>
        </w:tc>
      </w:tr>
      <w:tr>
        <w:trPr>
          <w:trHeight w:val="240"/>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4.</w:t>
            </w:r>
          </w:p>
        </w:tc>
        <w:tc>
          <w:tcPr>
            <w:tcW w:w="22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7880" w:type="dxa"/>
            <w:vAlign w:val="bottom"/>
            <w:gridSpan w:val="2"/>
          </w:tcPr>
          <w:p>
            <w:pPr>
              <w:spacing w:after="0"/>
              <w:rPr>
                <w:sz w:val="20"/>
                <w:szCs w:val="20"/>
                <w:color w:val="auto"/>
              </w:rPr>
            </w:pPr>
          </w:p>
        </w:tc>
        <w:tc>
          <w:tcPr>
            <w:tcW w:w="16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37</w:t>
            </w:r>
          </w:p>
        </w:tc>
      </w:tr>
      <w:tr>
        <w:trPr>
          <w:trHeight w:val="240"/>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5.</w:t>
            </w:r>
          </w:p>
        </w:tc>
        <w:tc>
          <w:tcPr>
            <w:tcW w:w="17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8420" w:type="dxa"/>
            <w:vAlign w:val="bottom"/>
            <w:gridSpan w:val="3"/>
          </w:tcPr>
          <w:p>
            <w:pPr>
              <w:spacing w:after="0"/>
              <w:rPr>
                <w:sz w:val="20"/>
                <w:szCs w:val="20"/>
                <w:color w:val="auto"/>
              </w:rPr>
            </w:pPr>
          </w:p>
        </w:tc>
        <w:tc>
          <w:tcPr>
            <w:tcW w:w="16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37</w:t>
            </w:r>
          </w:p>
        </w:tc>
      </w:tr>
      <w:tr>
        <w:trPr>
          <w:trHeight w:val="240"/>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6.</w:t>
            </w:r>
          </w:p>
        </w:tc>
        <w:tc>
          <w:tcPr>
            <w:tcW w:w="12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Exhibits</w:t>
            </w:r>
          </w:p>
        </w:tc>
        <w:tc>
          <w:tcPr>
            <w:tcW w:w="8860" w:type="dxa"/>
            <w:vAlign w:val="bottom"/>
            <w:gridSpan w:val="5"/>
          </w:tcPr>
          <w:p>
            <w:pPr>
              <w:spacing w:after="0"/>
              <w:rPr>
                <w:sz w:val="20"/>
                <w:szCs w:val="20"/>
                <w:color w:val="auto"/>
              </w:rPr>
            </w:pPr>
          </w:p>
        </w:tc>
        <w:tc>
          <w:tcPr>
            <w:tcW w:w="16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37</w:t>
            </w: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380" w:type="dxa"/>
            <w:vAlign w:val="bottom"/>
            <w:gridSpan w:val="7"/>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40"/>
        </w:trPr>
        <w:tc>
          <w:tcPr>
            <w:tcW w:w="920" w:type="dxa"/>
            <w:vAlign w:val="bottom"/>
          </w:tcPr>
          <w:p>
            <w:pPr>
              <w:spacing w:after="0"/>
              <w:rPr>
                <w:sz w:val="20"/>
                <w:szCs w:val="20"/>
                <w:color w:val="auto"/>
              </w:rPr>
            </w:pP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9380" w:type="dxa"/>
            <w:vAlign w:val="bottom"/>
            <w:gridSpan w:val="7"/>
          </w:tcPr>
          <w:p>
            <w:pPr>
              <w:spacing w:after="0"/>
              <w:rPr>
                <w:sz w:val="20"/>
                <w:szCs w:val="20"/>
                <w:color w:val="auto"/>
              </w:rPr>
            </w:pP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78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240" w:type="dxa"/>
            <w:vAlign w:val="bottom"/>
            <w:tcBorders>
              <w:top w:val="single" w:sz="8" w:color="0000FF"/>
            </w:tcBorders>
          </w:tcPr>
          <w:p>
            <w:pPr>
              <w:spacing w:after="0"/>
              <w:rPr>
                <w:sz w:val="24"/>
                <w:szCs w:val="24"/>
                <w:color w:val="auto"/>
              </w:rPr>
            </w:pPr>
          </w:p>
        </w:tc>
        <w:tc>
          <w:tcPr>
            <w:tcW w:w="6640" w:type="dxa"/>
            <w:vAlign w:val="bottom"/>
          </w:tcPr>
          <w:p>
            <w:pPr>
              <w:jc w:val="center"/>
              <w:ind w:left="2053"/>
              <w:spacing w:after="0"/>
              <w:rPr>
                <w:sz w:val="20"/>
                <w:szCs w:val="20"/>
                <w:color w:val="auto"/>
              </w:rPr>
            </w:pPr>
            <w:r>
              <w:rPr>
                <w:rFonts w:ascii="Times New Roman" w:cs="Times New Roman" w:eastAsia="Times New Roman" w:hAnsi="Times New Roman"/>
                <w:sz w:val="17"/>
                <w:szCs w:val="17"/>
                <w:b w:val="1"/>
                <w:bCs w:val="1"/>
                <w:color w:val="auto"/>
              </w:rPr>
              <w:t>SAILPOINT, INC.</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240" w:type="dxa"/>
            <w:vAlign w:val="bottom"/>
          </w:tcPr>
          <w:p>
            <w:pPr>
              <w:spacing w:after="0"/>
              <w:rPr>
                <w:sz w:val="18"/>
                <w:szCs w:val="18"/>
                <w:color w:val="auto"/>
              </w:rPr>
            </w:pPr>
          </w:p>
        </w:tc>
        <w:tc>
          <w:tcPr>
            <w:tcW w:w="6640" w:type="dxa"/>
            <w:vAlign w:val="bottom"/>
          </w:tcPr>
          <w:p>
            <w:pPr>
              <w:jc w:val="center"/>
              <w:ind w:left="2033"/>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40" w:type="dxa"/>
            <w:vAlign w:val="bottom"/>
          </w:tcPr>
          <w:p>
            <w:pPr>
              <w:spacing w:after="0"/>
              <w:rPr>
                <w:sz w:val="18"/>
                <w:szCs w:val="18"/>
                <w:color w:val="auto"/>
              </w:rPr>
            </w:pPr>
          </w:p>
        </w:tc>
        <w:tc>
          <w:tcPr>
            <w:tcW w:w="6640" w:type="dxa"/>
            <w:vAlign w:val="bottom"/>
          </w:tcPr>
          <w:p>
            <w:pPr>
              <w:jc w:val="center"/>
              <w:ind w:left="2053"/>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6640" w:type="dxa"/>
            <w:vAlign w:val="bottom"/>
          </w:tcPr>
          <w:p>
            <w:pPr>
              <w:jc w:val="center"/>
              <w:ind w:left="2053"/>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April 30,</w:t>
            </w:r>
          </w:p>
        </w:tc>
        <w:tc>
          <w:tcPr>
            <w:tcW w:w="160" w:type="dxa"/>
            <w:vAlign w:val="bottom"/>
          </w:tcPr>
          <w:p>
            <w:pPr>
              <w:spacing w:after="0"/>
              <w:rPr>
                <w:sz w:val="24"/>
                <w:szCs w:val="24"/>
                <w:color w:val="auto"/>
              </w:rPr>
            </w:pPr>
          </w:p>
        </w:tc>
        <w:tc>
          <w:tcPr>
            <w:tcW w:w="148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January 31, 2026</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390,806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358,144</w:t>
            </w:r>
          </w:p>
        </w:tc>
        <w:tc>
          <w:tcPr>
            <w:tcW w:w="0" w:type="dxa"/>
            <w:vAlign w:val="bottom"/>
          </w:tcPr>
          <w:p>
            <w:pPr>
              <w:spacing w:after="0"/>
              <w:rPr>
                <w:sz w:val="1"/>
                <w:szCs w:val="1"/>
                <w:color w:val="auto"/>
              </w:rPr>
            </w:pPr>
          </w:p>
        </w:tc>
      </w:tr>
      <w:tr>
        <w:trPr>
          <w:trHeight w:val="221"/>
        </w:trPr>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net of allowance</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255,958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335,001</w:t>
            </w:r>
          </w:p>
        </w:tc>
        <w:tc>
          <w:tcPr>
            <w:tcW w:w="0" w:type="dxa"/>
            <w:vAlign w:val="bottom"/>
          </w:tcPr>
          <w:p>
            <w:pPr>
              <w:spacing w:after="0"/>
              <w:rPr>
                <w:sz w:val="1"/>
                <w:szCs w:val="1"/>
                <w:color w:val="auto"/>
              </w:rPr>
            </w:pPr>
          </w:p>
        </w:tc>
      </w:tr>
      <w:tr>
        <w:trPr>
          <w:trHeight w:val="221"/>
        </w:trPr>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Contract acquisition costs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47,697</w:t>
            </w:r>
          </w:p>
        </w:tc>
        <w:tc>
          <w:tcPr>
            <w:tcW w:w="0" w:type="dxa"/>
            <w:vAlign w:val="bottom"/>
          </w:tcPr>
          <w:p>
            <w:pPr>
              <w:spacing w:after="0"/>
              <w:rPr>
                <w:sz w:val="1"/>
                <w:szCs w:val="1"/>
                <w:color w:val="auto"/>
              </w:rPr>
            </w:pPr>
          </w:p>
        </w:tc>
      </w:tr>
      <w:tr>
        <w:trPr>
          <w:trHeight w:val="221"/>
        </w:trPr>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Contract assets, net of allowance</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70,565</w:t>
            </w:r>
          </w:p>
        </w:tc>
        <w:tc>
          <w:tcPr>
            <w:tcW w:w="0" w:type="dxa"/>
            <w:vAlign w:val="bottom"/>
          </w:tcPr>
          <w:p>
            <w:pPr>
              <w:spacing w:after="0"/>
              <w:rPr>
                <w:sz w:val="1"/>
                <w:szCs w:val="1"/>
                <w:color w:val="auto"/>
              </w:rPr>
            </w:pPr>
          </w:p>
        </w:tc>
      </w:tr>
      <w:tr>
        <w:trPr>
          <w:trHeight w:val="221"/>
        </w:trPr>
        <w:tc>
          <w:tcPr>
            <w:tcW w:w="78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Prepayments and other current assets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52,112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39,288</w:t>
            </w:r>
          </w:p>
        </w:tc>
        <w:tc>
          <w:tcPr>
            <w:tcW w:w="0" w:type="dxa"/>
            <w:vAlign w:val="bottom"/>
          </w:tcPr>
          <w:p>
            <w:pPr>
              <w:spacing w:after="0"/>
              <w:rPr>
                <w:sz w:val="1"/>
                <w:szCs w:val="1"/>
                <w:color w:val="auto"/>
              </w:rPr>
            </w:pPr>
          </w:p>
        </w:tc>
      </w:tr>
      <w:tr>
        <w:trPr>
          <w:trHeight w:val="214"/>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823,335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850,695</w:t>
            </w:r>
          </w:p>
        </w:tc>
        <w:tc>
          <w:tcPr>
            <w:tcW w:w="0" w:type="dxa"/>
            <w:vAlign w:val="bottom"/>
          </w:tcPr>
          <w:p>
            <w:pPr>
              <w:spacing w:after="0"/>
              <w:rPr>
                <w:sz w:val="1"/>
                <w:szCs w:val="1"/>
                <w:color w:val="auto"/>
              </w:rPr>
            </w:pPr>
          </w:p>
        </w:tc>
      </w:tr>
      <w:tr>
        <w:trPr>
          <w:trHeight w:val="221"/>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35,178</w:t>
            </w:r>
          </w:p>
        </w:tc>
        <w:tc>
          <w:tcPr>
            <w:tcW w:w="0" w:type="dxa"/>
            <w:vAlign w:val="bottom"/>
          </w:tcPr>
          <w:p>
            <w:pPr>
              <w:spacing w:after="0"/>
              <w:rPr>
                <w:sz w:val="1"/>
                <w:szCs w:val="1"/>
                <w:color w:val="auto"/>
              </w:rPr>
            </w:pPr>
          </w:p>
        </w:tc>
      </w:tr>
      <w:tr>
        <w:trPr>
          <w:trHeight w:val="221"/>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acquisition costs, non-current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119,679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117,833</w:t>
            </w:r>
          </w:p>
        </w:tc>
        <w:tc>
          <w:tcPr>
            <w:tcW w:w="0" w:type="dxa"/>
            <w:vAlign w:val="bottom"/>
          </w:tcPr>
          <w:p>
            <w:pPr>
              <w:spacing w:after="0"/>
              <w:rPr>
                <w:sz w:val="1"/>
                <w:szCs w:val="1"/>
                <w:color w:val="auto"/>
              </w:rPr>
            </w:pPr>
          </w:p>
        </w:tc>
      </w:tr>
      <w:tr>
        <w:trPr>
          <w:trHeight w:val="221"/>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Contract assets, non-current, net of allowance</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41,249</w:t>
            </w:r>
          </w:p>
        </w:tc>
        <w:tc>
          <w:tcPr>
            <w:tcW w:w="0" w:type="dxa"/>
            <w:vAlign w:val="bottom"/>
          </w:tcPr>
          <w:p>
            <w:pPr>
              <w:spacing w:after="0"/>
              <w:rPr>
                <w:sz w:val="1"/>
                <w:szCs w:val="1"/>
                <w:color w:val="auto"/>
              </w:rPr>
            </w:pPr>
          </w:p>
        </w:tc>
      </w:tr>
      <w:tr>
        <w:trPr>
          <w:trHeight w:val="221"/>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23,621</w:t>
            </w:r>
          </w:p>
        </w:tc>
        <w:tc>
          <w:tcPr>
            <w:tcW w:w="0" w:type="dxa"/>
            <w:vAlign w:val="bottom"/>
          </w:tcPr>
          <w:p>
            <w:pPr>
              <w:spacing w:after="0"/>
              <w:rPr>
                <w:sz w:val="1"/>
                <w:szCs w:val="1"/>
                <w:color w:val="auto"/>
              </w:rPr>
            </w:pPr>
          </w:p>
        </w:tc>
      </w:tr>
      <w:tr>
        <w:trPr>
          <w:trHeight w:val="221"/>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5,151,668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5,151,668</w:t>
            </w:r>
          </w:p>
        </w:tc>
        <w:tc>
          <w:tcPr>
            <w:tcW w:w="0" w:type="dxa"/>
            <w:vAlign w:val="bottom"/>
          </w:tcPr>
          <w:p>
            <w:pPr>
              <w:spacing w:after="0"/>
              <w:rPr>
                <w:sz w:val="1"/>
                <w:szCs w:val="1"/>
                <w:color w:val="auto"/>
              </w:rPr>
            </w:pPr>
          </w:p>
        </w:tc>
      </w:tr>
      <w:tr>
        <w:trPr>
          <w:trHeight w:val="221"/>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1,326,552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1,377,317</w:t>
            </w:r>
          </w:p>
        </w:tc>
        <w:tc>
          <w:tcPr>
            <w:tcW w:w="0" w:type="dxa"/>
            <w:vAlign w:val="bottom"/>
          </w:tcPr>
          <w:p>
            <w:pPr>
              <w:spacing w:after="0"/>
              <w:rPr>
                <w:sz w:val="1"/>
                <w:szCs w:val="1"/>
                <w:color w:val="auto"/>
              </w:rPr>
            </w:pPr>
          </w:p>
        </w:tc>
      </w:tr>
      <w:tr>
        <w:trPr>
          <w:trHeight w:val="214"/>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7,525,891</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7,597,561</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880" w:type="dxa"/>
            <w:vAlign w:val="bottom"/>
            <w:gridSpan w:val="2"/>
            <w:shd w:val="clear" w:color="auto" w:fill="CCEEFF"/>
          </w:tcPr>
          <w:p>
            <w:pPr>
              <w:ind w:left="20"/>
              <w:spacing w:after="0" w:line="187"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5,824</w:t>
            </w:r>
          </w:p>
        </w:tc>
        <w:tc>
          <w:tcPr>
            <w:tcW w:w="0" w:type="dxa"/>
            <w:vAlign w:val="bottom"/>
          </w:tcPr>
          <w:p>
            <w:pPr>
              <w:spacing w:after="0"/>
              <w:rPr>
                <w:sz w:val="1"/>
                <w:szCs w:val="1"/>
                <w:color w:val="auto"/>
              </w:rPr>
            </w:pPr>
          </w:p>
        </w:tc>
      </w:tr>
      <w:tr>
        <w:trPr>
          <w:trHeight w:val="221"/>
        </w:trPr>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121,464</w:t>
            </w:r>
          </w:p>
        </w:tc>
        <w:tc>
          <w:tcPr>
            <w:tcW w:w="0" w:type="dxa"/>
            <w:vAlign w:val="bottom"/>
          </w:tcPr>
          <w:p>
            <w:pPr>
              <w:spacing w:after="0"/>
              <w:rPr>
                <w:sz w:val="1"/>
                <w:szCs w:val="1"/>
                <w:color w:val="auto"/>
              </w:rPr>
            </w:pPr>
          </w:p>
        </w:tc>
      </w:tr>
      <w:tr>
        <w:trPr>
          <w:trHeight w:val="221"/>
        </w:trPr>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501,777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516,007</w:t>
            </w:r>
          </w:p>
        </w:tc>
        <w:tc>
          <w:tcPr>
            <w:tcW w:w="0" w:type="dxa"/>
            <w:vAlign w:val="bottom"/>
          </w:tcPr>
          <w:p>
            <w:pPr>
              <w:spacing w:after="0"/>
              <w:rPr>
                <w:sz w:val="1"/>
                <w:szCs w:val="1"/>
                <w:color w:val="auto"/>
              </w:rPr>
            </w:pPr>
          </w:p>
        </w:tc>
      </w:tr>
      <w:tr>
        <w:trPr>
          <w:trHeight w:val="214"/>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590,321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643,295</w:t>
            </w:r>
          </w:p>
        </w:tc>
        <w:tc>
          <w:tcPr>
            <w:tcW w:w="0" w:type="dxa"/>
            <w:vAlign w:val="bottom"/>
          </w:tcPr>
          <w:p>
            <w:pPr>
              <w:spacing w:after="0"/>
              <w:rPr>
                <w:sz w:val="1"/>
                <w:szCs w:val="1"/>
                <w:color w:val="auto"/>
              </w:rPr>
            </w:pPr>
          </w:p>
        </w:tc>
      </w:tr>
      <w:tr>
        <w:trPr>
          <w:trHeight w:val="221"/>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liabilities, non-current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46,306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56,112</w:t>
            </w:r>
          </w:p>
        </w:tc>
        <w:tc>
          <w:tcPr>
            <w:tcW w:w="0" w:type="dxa"/>
            <w:vAlign w:val="bottom"/>
          </w:tcPr>
          <w:p>
            <w:pPr>
              <w:spacing w:after="0"/>
              <w:rPr>
                <w:sz w:val="1"/>
                <w:szCs w:val="1"/>
                <w:color w:val="auto"/>
              </w:rPr>
            </w:pPr>
          </w:p>
        </w:tc>
      </w:tr>
      <w:tr>
        <w:trPr>
          <w:trHeight w:val="221"/>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12,732</w:t>
            </w:r>
          </w:p>
        </w:tc>
        <w:tc>
          <w:tcPr>
            <w:tcW w:w="0" w:type="dxa"/>
            <w:vAlign w:val="bottom"/>
          </w:tcPr>
          <w:p>
            <w:pPr>
              <w:spacing w:after="0"/>
              <w:rPr>
                <w:sz w:val="1"/>
                <w:szCs w:val="1"/>
                <w:color w:val="auto"/>
              </w:rPr>
            </w:pPr>
          </w:p>
        </w:tc>
      </w:tr>
      <w:tr>
        <w:trPr>
          <w:trHeight w:val="221"/>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 non-current</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33,529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39,191</w:t>
            </w:r>
          </w:p>
        </w:tc>
        <w:tc>
          <w:tcPr>
            <w:tcW w:w="0" w:type="dxa"/>
            <w:vAlign w:val="bottom"/>
          </w:tcPr>
          <w:p>
            <w:pPr>
              <w:spacing w:after="0"/>
              <w:rPr>
                <w:sz w:val="1"/>
                <w:szCs w:val="1"/>
                <w:color w:val="auto"/>
              </w:rPr>
            </w:pPr>
          </w:p>
        </w:tc>
      </w:tr>
      <w:tr>
        <w:trPr>
          <w:trHeight w:val="214"/>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683,734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751,330</w:t>
            </w:r>
          </w:p>
        </w:tc>
        <w:tc>
          <w:tcPr>
            <w:tcW w:w="0" w:type="dxa"/>
            <w:vAlign w:val="bottom"/>
          </w:tcPr>
          <w:p>
            <w:pPr>
              <w:spacing w:after="0"/>
              <w:rPr>
                <w:sz w:val="1"/>
                <w:szCs w:val="1"/>
                <w:color w:val="auto"/>
              </w:rPr>
            </w:pPr>
          </w:p>
        </w:tc>
      </w:tr>
      <w:tr>
        <w:trPr>
          <w:trHeight w:val="221"/>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6)</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88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Preferred stock, par value of $0.0001 per share; 50,000,000 shares authorized; no shares issued or outstanding as</w:t>
            </w: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 April 30, 2026 and January 31, 2026</w:t>
            </w:r>
          </w:p>
        </w:tc>
        <w:tc>
          <w:tcPr>
            <w:tcW w:w="3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9"/>
        </w:trPr>
        <w:tc>
          <w:tcPr>
            <w:tcW w:w="78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7"/>
                <w:szCs w:val="17"/>
                <w:color w:val="auto"/>
              </w:rPr>
              <w:t>Common stock, par value of $0.0001 per share; 1,750,000,000 shares authorized; 567,208,393 and 563,781,636</w:t>
            </w: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shares issued and outstanding as of April 30, 2026 and January 31, 2026, respectively</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21"/>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Additional paid in capital</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7,167,574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7,096,974</w:t>
            </w:r>
          </w:p>
        </w:tc>
        <w:tc>
          <w:tcPr>
            <w:tcW w:w="0" w:type="dxa"/>
            <w:vAlign w:val="bottom"/>
          </w:tcPr>
          <w:p>
            <w:pPr>
              <w:spacing w:after="0"/>
              <w:rPr>
                <w:sz w:val="1"/>
                <w:szCs w:val="1"/>
                <w:color w:val="auto"/>
              </w:rPr>
            </w:pPr>
          </w:p>
        </w:tc>
      </w:tr>
      <w:tr>
        <w:trPr>
          <w:trHeight w:val="221"/>
        </w:trPr>
        <w:tc>
          <w:tcPr>
            <w:tcW w:w="7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Accumulated deficit</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(325,473)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(250,799)</w:t>
            </w:r>
          </w:p>
        </w:tc>
        <w:tc>
          <w:tcPr>
            <w:tcW w:w="0" w:type="dxa"/>
            <w:vAlign w:val="bottom"/>
          </w:tcPr>
          <w:p>
            <w:pPr>
              <w:spacing w:after="0"/>
              <w:rPr>
                <w:sz w:val="1"/>
                <w:szCs w:val="1"/>
                <w:color w:val="auto"/>
              </w:rPr>
            </w:pPr>
          </w:p>
        </w:tc>
      </w:tr>
      <w:tr>
        <w:trPr>
          <w:trHeight w:val="214"/>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6,842,157</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6,846,231</w:t>
            </w:r>
          </w:p>
        </w:tc>
        <w:tc>
          <w:tcPr>
            <w:tcW w:w="0" w:type="dxa"/>
            <w:vAlign w:val="bottom"/>
          </w:tcPr>
          <w:p>
            <w:pPr>
              <w:spacing w:after="0"/>
              <w:rPr>
                <w:sz w:val="1"/>
                <w:szCs w:val="1"/>
                <w:color w:val="auto"/>
              </w:rPr>
            </w:pPr>
          </w:p>
        </w:tc>
      </w:tr>
      <w:tr>
        <w:trPr>
          <w:trHeight w:val="214"/>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7,525,891</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7,597,561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78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8"/>
        </w:trPr>
        <w:tc>
          <w:tcPr>
            <w:tcW w:w="1240" w:type="dxa"/>
            <w:vAlign w:val="bottom"/>
            <w:tcBorders>
              <w:top w:val="single" w:sz="8" w:color="0000FF"/>
            </w:tcBorders>
          </w:tcPr>
          <w:p>
            <w:pPr>
              <w:spacing w:after="0"/>
              <w:rPr>
                <w:sz w:val="24"/>
                <w:szCs w:val="24"/>
                <w:color w:val="auto"/>
              </w:rPr>
            </w:pPr>
          </w:p>
        </w:tc>
        <w:tc>
          <w:tcPr>
            <w:tcW w:w="6640" w:type="dxa"/>
            <w:vAlign w:val="bottom"/>
          </w:tcPr>
          <w:p>
            <w:pPr>
              <w:jc w:val="center"/>
              <w:ind w:left="2053"/>
              <w:spacing w:after="0"/>
              <w:rPr>
                <w:sz w:val="20"/>
                <w:szCs w:val="20"/>
                <w:color w:val="auto"/>
              </w:rPr>
            </w:pPr>
            <w:r>
              <w:rPr>
                <w:rFonts w:ascii="Times New Roman" w:cs="Times New Roman" w:eastAsia="Times New Roman" w:hAnsi="Times New Roman"/>
                <w:sz w:val="17"/>
                <w:szCs w:val="17"/>
                <w:b w:val="1"/>
                <w:bCs w:val="1"/>
                <w:color w:val="auto"/>
              </w:rPr>
              <w:t>SAILPOINT, INC.</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240" w:type="dxa"/>
            <w:vAlign w:val="bottom"/>
          </w:tcPr>
          <w:p>
            <w:pPr>
              <w:spacing w:after="0"/>
              <w:rPr>
                <w:sz w:val="18"/>
                <w:szCs w:val="18"/>
                <w:color w:val="auto"/>
              </w:rPr>
            </w:pPr>
          </w:p>
        </w:tc>
        <w:tc>
          <w:tcPr>
            <w:tcW w:w="7640" w:type="dxa"/>
            <w:vAlign w:val="bottom"/>
            <w:gridSpan w:val="2"/>
          </w:tcPr>
          <w:p>
            <w:pPr>
              <w:jc w:val="center"/>
              <w:ind w:left="1053"/>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40" w:type="dxa"/>
            <w:vAlign w:val="bottom"/>
          </w:tcPr>
          <w:p>
            <w:pPr>
              <w:spacing w:after="0"/>
              <w:rPr>
                <w:sz w:val="18"/>
                <w:szCs w:val="18"/>
                <w:color w:val="auto"/>
              </w:rPr>
            </w:pPr>
          </w:p>
        </w:tc>
        <w:tc>
          <w:tcPr>
            <w:tcW w:w="6640" w:type="dxa"/>
            <w:vAlign w:val="bottom"/>
          </w:tcPr>
          <w:p>
            <w:pPr>
              <w:jc w:val="center"/>
              <w:ind w:left="2033"/>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6640" w:type="dxa"/>
            <w:vAlign w:val="bottom"/>
          </w:tcPr>
          <w:p>
            <w:pPr>
              <w:jc w:val="center"/>
              <w:ind w:left="2053"/>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124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3360" w:type="dxa"/>
            <w:vAlign w:val="bottom"/>
            <w:tcBorders>
              <w:bottom w:val="single" w:sz="8" w:color="auto"/>
            </w:tcBorders>
            <w:gridSpan w:val="5"/>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c>
          <w:tcPr>
            <w:tcW w:w="0" w:type="dxa"/>
            <w:vAlign w:val="bottom"/>
          </w:tcPr>
          <w:p>
            <w:pPr>
              <w:spacing w:after="0"/>
              <w:rPr>
                <w:sz w:val="1"/>
                <w:szCs w:val="1"/>
                <w:color w:val="auto"/>
              </w:rPr>
            </w:pPr>
          </w:p>
        </w:tc>
      </w:tr>
      <w:tr>
        <w:trPr>
          <w:trHeight w:val="214"/>
        </w:trPr>
        <w:tc>
          <w:tcPr>
            <w:tcW w:w="7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01"/>
        </w:trPr>
        <w:tc>
          <w:tcPr>
            <w:tcW w:w="788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Subscription</w:t>
            </w:r>
          </w:p>
        </w:tc>
        <w:tc>
          <w:tcPr>
            <w:tcW w:w="100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265,821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215,323</w:t>
            </w:r>
          </w:p>
        </w:tc>
        <w:tc>
          <w:tcPr>
            <w:tcW w:w="0" w:type="dxa"/>
            <w:vAlign w:val="bottom"/>
          </w:tcPr>
          <w:p>
            <w:pPr>
              <w:spacing w:after="0"/>
              <w:rPr>
                <w:sz w:val="1"/>
                <w:szCs w:val="1"/>
                <w:color w:val="auto"/>
              </w:rPr>
            </w:pPr>
          </w:p>
        </w:tc>
      </w:tr>
      <w:tr>
        <w:trPr>
          <w:trHeight w:val="221"/>
        </w:trPr>
        <w:tc>
          <w:tcPr>
            <w:tcW w:w="78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Services and other</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14,321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15,145</w:t>
            </w:r>
          </w:p>
        </w:tc>
        <w:tc>
          <w:tcPr>
            <w:tcW w:w="0" w:type="dxa"/>
            <w:vAlign w:val="bottom"/>
          </w:tcPr>
          <w:p>
            <w:pPr>
              <w:spacing w:after="0"/>
              <w:rPr>
                <w:sz w:val="1"/>
                <w:szCs w:val="1"/>
                <w:color w:val="auto"/>
              </w:rPr>
            </w:pPr>
          </w:p>
        </w:tc>
      </w:tr>
      <w:tr>
        <w:trPr>
          <w:trHeight w:val="214"/>
        </w:trPr>
        <w:tc>
          <w:tcPr>
            <w:tcW w:w="7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revenue</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280,142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230,468</w:t>
            </w:r>
          </w:p>
        </w:tc>
        <w:tc>
          <w:tcPr>
            <w:tcW w:w="0" w:type="dxa"/>
            <w:vAlign w:val="bottom"/>
          </w:tcPr>
          <w:p>
            <w:pPr>
              <w:spacing w:after="0"/>
              <w:rPr>
                <w:sz w:val="1"/>
                <w:szCs w:val="1"/>
                <w:color w:val="auto"/>
              </w:rPr>
            </w:pPr>
          </w:p>
        </w:tc>
      </w:tr>
      <w:tr>
        <w:trPr>
          <w:trHeight w:val="221"/>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Cost of revenue</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Subscription</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80,220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75,491</w:t>
            </w:r>
          </w:p>
        </w:tc>
        <w:tc>
          <w:tcPr>
            <w:tcW w:w="0" w:type="dxa"/>
            <w:vAlign w:val="bottom"/>
          </w:tcPr>
          <w:p>
            <w:pPr>
              <w:spacing w:after="0"/>
              <w:rPr>
                <w:sz w:val="1"/>
                <w:szCs w:val="1"/>
                <w:color w:val="auto"/>
              </w:rPr>
            </w:pPr>
          </w:p>
        </w:tc>
      </w:tr>
      <w:tr>
        <w:trPr>
          <w:trHeight w:val="221"/>
        </w:trPr>
        <w:tc>
          <w:tcPr>
            <w:tcW w:w="78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Services and other</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18,810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27,322</w:t>
            </w:r>
          </w:p>
        </w:tc>
        <w:tc>
          <w:tcPr>
            <w:tcW w:w="0" w:type="dxa"/>
            <w:vAlign w:val="bottom"/>
          </w:tcPr>
          <w:p>
            <w:pPr>
              <w:spacing w:after="0"/>
              <w:rPr>
                <w:sz w:val="1"/>
                <w:szCs w:val="1"/>
                <w:color w:val="auto"/>
              </w:rPr>
            </w:pPr>
          </w:p>
        </w:tc>
      </w:tr>
      <w:tr>
        <w:trPr>
          <w:trHeight w:val="214"/>
        </w:trPr>
        <w:tc>
          <w:tcPr>
            <w:tcW w:w="7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cost of revenue</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99,030</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102,813</w:t>
            </w:r>
          </w:p>
        </w:tc>
        <w:tc>
          <w:tcPr>
            <w:tcW w:w="0" w:type="dxa"/>
            <w:vAlign w:val="bottom"/>
          </w:tcPr>
          <w:p>
            <w:pPr>
              <w:spacing w:after="0"/>
              <w:rPr>
                <w:sz w:val="1"/>
                <w:szCs w:val="1"/>
                <w:color w:val="auto"/>
              </w:rPr>
            </w:pPr>
          </w:p>
        </w:tc>
      </w:tr>
      <w:tr>
        <w:trPr>
          <w:trHeight w:val="214"/>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181,112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127,655</w:t>
            </w:r>
          </w:p>
        </w:tc>
        <w:tc>
          <w:tcPr>
            <w:tcW w:w="0" w:type="dxa"/>
            <w:vAlign w:val="bottom"/>
          </w:tcPr>
          <w:p>
            <w:pPr>
              <w:spacing w:after="0"/>
              <w:rPr>
                <w:sz w:val="1"/>
                <w:szCs w:val="1"/>
                <w:color w:val="auto"/>
              </w:rPr>
            </w:pPr>
          </w:p>
        </w:tc>
      </w:tr>
      <w:tr>
        <w:trPr>
          <w:trHeight w:val="221"/>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61,686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67,270</w:t>
            </w:r>
          </w:p>
        </w:tc>
        <w:tc>
          <w:tcPr>
            <w:tcW w:w="0" w:type="dxa"/>
            <w:vAlign w:val="bottom"/>
          </w:tcPr>
          <w:p>
            <w:pPr>
              <w:spacing w:after="0"/>
              <w:rPr>
                <w:sz w:val="1"/>
                <w:szCs w:val="1"/>
                <w:color w:val="auto"/>
              </w:rPr>
            </w:pPr>
          </w:p>
        </w:tc>
      </w:tr>
      <w:tr>
        <w:trPr>
          <w:trHeight w:val="221"/>
        </w:trPr>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Sales and marketing</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154,276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164,530</w:t>
            </w:r>
          </w:p>
        </w:tc>
        <w:tc>
          <w:tcPr>
            <w:tcW w:w="0" w:type="dxa"/>
            <w:vAlign w:val="bottom"/>
          </w:tcPr>
          <w:p>
            <w:pPr>
              <w:spacing w:after="0"/>
              <w:rPr>
                <w:sz w:val="1"/>
                <w:szCs w:val="1"/>
                <w:color w:val="auto"/>
              </w:rPr>
            </w:pPr>
          </w:p>
        </w:tc>
      </w:tr>
      <w:tr>
        <w:trPr>
          <w:trHeight w:val="221"/>
        </w:trPr>
        <w:tc>
          <w:tcPr>
            <w:tcW w:w="78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44,976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80,820</w:t>
            </w:r>
          </w:p>
        </w:tc>
        <w:tc>
          <w:tcPr>
            <w:tcW w:w="0" w:type="dxa"/>
            <w:vAlign w:val="bottom"/>
          </w:tcPr>
          <w:p>
            <w:pPr>
              <w:spacing w:after="0"/>
              <w:rPr>
                <w:sz w:val="1"/>
                <w:szCs w:val="1"/>
                <w:color w:val="auto"/>
              </w:rPr>
            </w:pPr>
          </w:p>
        </w:tc>
      </w:tr>
      <w:tr>
        <w:trPr>
          <w:trHeight w:val="214"/>
        </w:trPr>
        <w:tc>
          <w:tcPr>
            <w:tcW w:w="7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260,938</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312,620</w:t>
            </w:r>
          </w:p>
        </w:tc>
        <w:tc>
          <w:tcPr>
            <w:tcW w:w="0" w:type="dxa"/>
            <w:vAlign w:val="bottom"/>
          </w:tcPr>
          <w:p>
            <w:pPr>
              <w:spacing w:after="0"/>
              <w:rPr>
                <w:sz w:val="1"/>
                <w:szCs w:val="1"/>
                <w:color w:val="auto"/>
              </w:rPr>
            </w:pPr>
          </w:p>
        </w:tc>
      </w:tr>
      <w:tr>
        <w:trPr>
          <w:trHeight w:val="214"/>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(79,826)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(184,965)</w:t>
            </w:r>
          </w:p>
        </w:tc>
        <w:tc>
          <w:tcPr>
            <w:tcW w:w="0" w:type="dxa"/>
            <w:vAlign w:val="bottom"/>
          </w:tcPr>
          <w:p>
            <w:pPr>
              <w:spacing w:after="0"/>
              <w:rPr>
                <w:sz w:val="1"/>
                <w:szCs w:val="1"/>
                <w:color w:val="auto"/>
              </w:rPr>
            </w:pPr>
          </w:p>
        </w:tc>
      </w:tr>
      <w:tr>
        <w:trPr>
          <w:trHeight w:val="221"/>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Interest income</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3,226</w:t>
            </w:r>
          </w:p>
        </w:tc>
        <w:tc>
          <w:tcPr>
            <w:tcW w:w="0" w:type="dxa"/>
            <w:vAlign w:val="bottom"/>
          </w:tcPr>
          <w:p>
            <w:pPr>
              <w:spacing w:after="0"/>
              <w:rPr>
                <w:sz w:val="1"/>
                <w:szCs w:val="1"/>
                <w:color w:val="auto"/>
              </w:rPr>
            </w:pPr>
          </w:p>
        </w:tc>
      </w:tr>
      <w:tr>
        <w:trPr>
          <w:trHeight w:val="221"/>
        </w:trPr>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(22,389)</w:t>
            </w:r>
          </w:p>
        </w:tc>
        <w:tc>
          <w:tcPr>
            <w:tcW w:w="0" w:type="dxa"/>
            <w:vAlign w:val="bottom"/>
          </w:tcPr>
          <w:p>
            <w:pPr>
              <w:spacing w:after="0"/>
              <w:rPr>
                <w:sz w:val="1"/>
                <w:szCs w:val="1"/>
                <w:color w:val="auto"/>
              </w:rPr>
            </w:pPr>
          </w:p>
        </w:tc>
      </w:tr>
      <w:tr>
        <w:trPr>
          <w:trHeight w:val="221"/>
        </w:trPr>
        <w:tc>
          <w:tcPr>
            <w:tcW w:w="78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0" w:type="dxa"/>
            <w:vAlign w:val="bottom"/>
          </w:tcPr>
          <w:p>
            <w:pPr>
              <w:spacing w:after="0"/>
              <w:rPr>
                <w:sz w:val="1"/>
                <w:szCs w:val="1"/>
                <w:color w:val="auto"/>
              </w:rPr>
            </w:pPr>
          </w:p>
        </w:tc>
      </w:tr>
      <w:tr>
        <w:trPr>
          <w:trHeight w:val="214"/>
        </w:trPr>
        <w:tc>
          <w:tcPr>
            <w:tcW w:w="7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(19,354)</w:t>
            </w:r>
          </w:p>
        </w:tc>
        <w:tc>
          <w:tcPr>
            <w:tcW w:w="0" w:type="dxa"/>
            <w:vAlign w:val="bottom"/>
          </w:tcPr>
          <w:p>
            <w:pPr>
              <w:spacing w:after="0"/>
              <w:rPr>
                <w:sz w:val="1"/>
                <w:szCs w:val="1"/>
                <w:color w:val="auto"/>
              </w:rPr>
            </w:pPr>
          </w:p>
        </w:tc>
      </w:tr>
      <w:tr>
        <w:trPr>
          <w:trHeight w:val="214"/>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(80,048)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(204,319)</w:t>
            </w:r>
          </w:p>
        </w:tc>
        <w:tc>
          <w:tcPr>
            <w:tcW w:w="0" w:type="dxa"/>
            <w:vAlign w:val="bottom"/>
          </w:tcPr>
          <w:p>
            <w:pPr>
              <w:spacing w:after="0"/>
              <w:rPr>
                <w:sz w:val="1"/>
                <w:szCs w:val="1"/>
                <w:color w:val="auto"/>
              </w:rPr>
            </w:pPr>
          </w:p>
        </w:tc>
      </w:tr>
      <w:tr>
        <w:trPr>
          <w:trHeight w:val="221"/>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17,007</w:t>
            </w:r>
          </w:p>
        </w:tc>
        <w:tc>
          <w:tcPr>
            <w:tcW w:w="0" w:type="dxa"/>
            <w:vAlign w:val="bottom"/>
          </w:tcPr>
          <w:p>
            <w:pPr>
              <w:spacing w:after="0"/>
              <w:rPr>
                <w:sz w:val="1"/>
                <w:szCs w:val="1"/>
                <w:color w:val="auto"/>
              </w:rPr>
            </w:pPr>
          </w:p>
        </w:tc>
      </w:tr>
      <w:tr>
        <w:trPr>
          <w:trHeight w:val="214"/>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(74,674)</w:t>
            </w:r>
          </w:p>
        </w:tc>
        <w:tc>
          <w:tcPr>
            <w:tcW w:w="80" w:type="dxa"/>
            <w:vAlign w:val="bottom"/>
          </w:tcPr>
          <w:p>
            <w:pPr>
              <w:spacing w:after="0"/>
              <w:rPr>
                <w:sz w:val="18"/>
                <w:szCs w:val="18"/>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(187,312)</w:t>
            </w:r>
          </w:p>
        </w:tc>
        <w:tc>
          <w:tcPr>
            <w:tcW w:w="0" w:type="dxa"/>
            <w:vAlign w:val="bottom"/>
          </w:tcPr>
          <w:p>
            <w:pPr>
              <w:spacing w:after="0"/>
              <w:rPr>
                <w:sz w:val="1"/>
                <w:szCs w:val="1"/>
                <w:color w:val="auto"/>
              </w:rPr>
            </w:pPr>
          </w:p>
        </w:tc>
      </w:tr>
      <w:tr>
        <w:trPr>
          <w:trHeight w:val="221"/>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 A yield</w:t>
            </w:r>
          </w:p>
        </w:tc>
        <w:tc>
          <w:tcPr>
            <w:tcW w:w="10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(23,786)</w:t>
            </w:r>
          </w:p>
        </w:tc>
        <w:tc>
          <w:tcPr>
            <w:tcW w:w="0" w:type="dxa"/>
            <w:vAlign w:val="bottom"/>
          </w:tcPr>
          <w:p>
            <w:pPr>
              <w:spacing w:after="0"/>
              <w:rPr>
                <w:sz w:val="1"/>
                <w:szCs w:val="1"/>
                <w:color w:val="auto"/>
              </w:rPr>
            </w:pPr>
          </w:p>
        </w:tc>
      </w:tr>
      <w:tr>
        <w:trPr>
          <w:trHeight w:val="214"/>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1000" w:type="dxa"/>
            <w:vAlign w:val="bottom"/>
            <w:tcBorders>
              <w:top w:val="single" w:sz="8" w:color="auto"/>
              <w:bottom w:val="single" w:sz="8" w:color="auto"/>
            </w:tcBorders>
          </w:tcPr>
          <w:p>
            <w:pPr>
              <w:jc w:val="right"/>
              <w:ind w:right="81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(74,674)</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(211,098)</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880" w:type="dxa"/>
            <w:vAlign w:val="bottom"/>
            <w:tcBorders>
              <w:bottom w:val="single" w:sz="8" w:color="CCEEFF"/>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Net loss per share attributable to common stockholders, basic and diluted </w:t>
            </w:r>
            <w:r>
              <w:rPr>
                <w:rFonts w:ascii="Times New Roman" w:cs="Times New Roman" w:eastAsia="Times New Roman" w:hAnsi="Times New Roman"/>
                <w:sz w:val="22"/>
                <w:szCs w:val="22"/>
                <w:color w:val="auto"/>
                <w:vertAlign w:val="superscript"/>
              </w:rPr>
              <w:t>(1)</w:t>
            </w:r>
          </w:p>
        </w:tc>
        <w:tc>
          <w:tcPr>
            <w:tcW w:w="1000" w:type="dxa"/>
            <w:vAlign w:val="bottom"/>
            <w:tcBorders>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(0.42)</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880" w:type="dxa"/>
            <w:vAlign w:val="bottom"/>
            <w:gridSpan w:val="2"/>
          </w:tcPr>
          <w:p>
            <w:pPr>
              <w:ind w:left="20"/>
              <w:spacing w:after="0" w:line="192" w:lineRule="exact"/>
              <w:rPr>
                <w:sz w:val="20"/>
                <w:szCs w:val="20"/>
                <w:color w:val="auto"/>
              </w:rPr>
            </w:pPr>
            <w:r>
              <w:rPr>
                <w:rFonts w:ascii="Times New Roman" w:cs="Times New Roman" w:eastAsia="Times New Roman" w:hAnsi="Times New Roman"/>
                <w:sz w:val="17"/>
                <w:szCs w:val="17"/>
                <w:color w:val="auto"/>
              </w:rPr>
              <w:t xml:space="preserve">Weighted average common shares outstanding, basic and diluted </w:t>
            </w:r>
            <w:r>
              <w:rPr>
                <w:rFonts w:ascii="Times New Roman" w:cs="Times New Roman" w:eastAsia="Times New Roman" w:hAnsi="Times New Roman"/>
                <w:sz w:val="22"/>
                <w:szCs w:val="22"/>
                <w:color w:val="auto"/>
                <w:vertAlign w:val="superscript"/>
              </w:rPr>
              <w:t>(1)</w:t>
            </w: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w w:val="97"/>
              </w:rPr>
              <w:t>564,548</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500,029</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w:t>
      </w:r>
    </w:p>
    <w:p>
      <w:pPr>
        <w:spacing w:after="0" w:line="29" w:lineRule="exact"/>
        <w:rPr>
          <w:sz w:val="20"/>
          <w:szCs w:val="20"/>
          <w:color w:val="auto"/>
        </w:rPr>
      </w:pPr>
    </w:p>
    <w:p>
      <w:pPr>
        <w:ind w:firstLine="4"/>
        <w:spacing w:after="0" w:line="250" w:lineRule="auto"/>
        <w:tabs>
          <w:tab w:leader="none" w:pos="19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for the period during February 2025 prior to the Corporate Conversion have been retrospectively adjusted to give effect to the Corporate Conversion described in Note 1. These amounts do not consider the shares of common stock sold in the Company's IPO or the Class A Units considered preferred shares that were converted into common stock due to the Corporate Conversion.</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SAILPOINT,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REDEEMABLE CONVERTIBLE UNITS, STOCKHOLDERS' EQUITY AND PARTNERS'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EQUITY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Redeemable Convertible Units</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100" w:type="dxa"/>
            <w:vAlign w:val="bottom"/>
            <w:gridSpan w:val="4"/>
            <w:vMerge w:val="restart"/>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20" w:type="dxa"/>
            <w:vAlign w:val="bottom"/>
          </w:tcPr>
          <w:p>
            <w:pPr>
              <w:spacing w:after="0"/>
              <w:rPr>
                <w:sz w:val="21"/>
                <w:szCs w:val="21"/>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161"/>
        </w:trPr>
        <w:tc>
          <w:tcPr>
            <w:tcW w:w="3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00" w:type="dxa"/>
            <w:vAlign w:val="bottom"/>
            <w:tcBorders>
              <w:bottom w:val="single" w:sz="8" w:color="auto"/>
            </w:tcBorders>
            <w:gridSpan w:val="4"/>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10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7"/>
                <w:szCs w:val="17"/>
                <w:b w:val="1"/>
                <w:bCs w:val="1"/>
                <w:color w:val="auto"/>
              </w:rPr>
              <w:t>Paid in</w:t>
            </w:r>
          </w:p>
        </w:tc>
        <w:tc>
          <w:tcPr>
            <w:tcW w:w="11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0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227"/>
        </w:trPr>
        <w:tc>
          <w:tcPr>
            <w:tcW w:w="3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Units</w:t>
            </w:r>
          </w:p>
        </w:tc>
        <w:tc>
          <w:tcPr>
            <w:tcW w:w="200" w:type="dxa"/>
            <w:vAlign w:val="bottom"/>
          </w:tcPr>
          <w:p>
            <w:pPr>
              <w:spacing w:after="0"/>
              <w:rPr>
                <w:sz w:val="19"/>
                <w:szCs w:val="19"/>
                <w:color w:val="auto"/>
              </w:rPr>
            </w:pPr>
          </w:p>
        </w:tc>
        <w:tc>
          <w:tcPr>
            <w:tcW w:w="11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60" w:type="dxa"/>
            <w:vAlign w:val="bottom"/>
          </w:tcPr>
          <w:p>
            <w:pPr>
              <w:spacing w:after="0"/>
              <w:rPr>
                <w:sz w:val="19"/>
                <w:szCs w:val="19"/>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60" w:type="dxa"/>
            <w:vAlign w:val="bottom"/>
          </w:tcPr>
          <w:p>
            <w:pPr>
              <w:spacing w:after="0"/>
              <w:rPr>
                <w:sz w:val="19"/>
                <w:szCs w:val="19"/>
                <w:color w:val="auto"/>
              </w:rPr>
            </w:pPr>
          </w:p>
        </w:tc>
        <w:tc>
          <w:tcPr>
            <w:tcW w:w="860" w:type="dxa"/>
            <w:vAlign w:val="bottom"/>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Pr>
          <w:p>
            <w:pPr>
              <w:spacing w:after="0"/>
              <w:rPr>
                <w:sz w:val="19"/>
                <w:szCs w:val="19"/>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60" w:type="dxa"/>
            <w:vAlign w:val="bottom"/>
          </w:tcPr>
          <w:p>
            <w:pPr>
              <w:spacing w:after="0"/>
              <w:rPr>
                <w:sz w:val="19"/>
                <w:szCs w:val="19"/>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40" w:type="dxa"/>
            <w:vAlign w:val="bottom"/>
          </w:tcPr>
          <w:p>
            <w:pPr>
              <w:spacing w:after="0"/>
              <w:rPr>
                <w:sz w:val="19"/>
                <w:szCs w:val="19"/>
                <w:color w:val="auto"/>
              </w:rPr>
            </w:pPr>
          </w:p>
        </w:tc>
        <w:tc>
          <w:tcPr>
            <w:tcW w:w="920" w:type="dxa"/>
            <w:vAlign w:val="bottom"/>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214"/>
        </w:trPr>
        <w:tc>
          <w:tcPr>
            <w:tcW w:w="33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January 31, 2026</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563,487</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7,096,974</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(250,799)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6,846,231</w:t>
            </w:r>
          </w:p>
        </w:tc>
        <w:tc>
          <w:tcPr>
            <w:tcW w:w="0" w:type="dxa"/>
            <w:vAlign w:val="bottom"/>
          </w:tcPr>
          <w:p>
            <w:pPr>
              <w:spacing w:after="0"/>
              <w:rPr>
                <w:sz w:val="1"/>
                <w:szCs w:val="1"/>
                <w:color w:val="auto"/>
              </w:rPr>
            </w:pPr>
          </w:p>
        </w:tc>
      </w:tr>
      <w:tr>
        <w:trPr>
          <w:trHeight w:val="221"/>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70,600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70,600</w:t>
            </w:r>
          </w:p>
        </w:tc>
        <w:tc>
          <w:tcPr>
            <w:tcW w:w="0" w:type="dxa"/>
            <w:vAlign w:val="bottom"/>
          </w:tcPr>
          <w:p>
            <w:pPr>
              <w:spacing w:after="0"/>
              <w:rPr>
                <w:sz w:val="1"/>
                <w:szCs w:val="1"/>
                <w:color w:val="auto"/>
              </w:rPr>
            </w:pPr>
          </w:p>
        </w:tc>
      </w:tr>
      <w:tr>
        <w:trPr>
          <w:trHeight w:val="169"/>
        </w:trPr>
        <w:tc>
          <w:tcPr>
            <w:tcW w:w="338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Issuance and vesting of restricted stock and</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3,551</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(74,674)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(74,674)</w:t>
            </w:r>
          </w:p>
        </w:tc>
        <w:tc>
          <w:tcPr>
            <w:tcW w:w="0" w:type="dxa"/>
            <w:vAlign w:val="bottom"/>
          </w:tcPr>
          <w:p>
            <w:pPr>
              <w:spacing w:after="0"/>
              <w:rPr>
                <w:sz w:val="1"/>
                <w:szCs w:val="1"/>
                <w:color w:val="auto"/>
              </w:rPr>
            </w:pPr>
          </w:p>
        </w:tc>
      </w:tr>
      <w:tr>
        <w:trPr>
          <w:trHeight w:val="239"/>
        </w:trPr>
        <w:tc>
          <w:tcPr>
            <w:tcW w:w="3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April 30, 2026</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567,038</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7,167,574</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(325,473)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6,842,157</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tcBorders>
              <w:right w:val="single" w:sz="8" w:color="auto"/>
            </w:tcBorders>
            <w:gridSpan w:val="5"/>
            <w:vMerge w:val="restart"/>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Redeemable Convertible Units</w:t>
            </w:r>
          </w:p>
        </w:tc>
        <w:tc>
          <w:tcPr>
            <w:tcW w:w="60" w:type="dxa"/>
            <w:vAlign w:val="bottom"/>
          </w:tcPr>
          <w:p>
            <w:pPr>
              <w:spacing w:after="0"/>
              <w:rPr>
                <w:sz w:val="14"/>
                <w:szCs w:val="14"/>
                <w:color w:val="auto"/>
              </w:rPr>
            </w:pPr>
          </w:p>
        </w:tc>
        <w:tc>
          <w:tcPr>
            <w:tcW w:w="2100" w:type="dxa"/>
            <w:vAlign w:val="bottom"/>
            <w:gridSpan w:val="4"/>
            <w:vMerge w:val="restart"/>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tcBorders>
              <w:right w:val="single" w:sz="8" w:color="auto"/>
            </w:tcBorders>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210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center"/>
              <w:ind w:right="180"/>
              <w:spacing w:after="0" w:line="182" w:lineRule="exact"/>
              <w:rPr>
                <w:sz w:val="20"/>
                <w:szCs w:val="20"/>
                <w:color w:val="auto"/>
              </w:rPr>
            </w:pPr>
            <w:r>
              <w:rPr>
                <w:rFonts w:ascii="Times New Roman" w:cs="Times New Roman" w:eastAsia="Times New Roman" w:hAnsi="Times New Roman"/>
                <w:sz w:val="17"/>
                <w:szCs w:val="17"/>
                <w:b w:val="1"/>
                <w:bCs w:val="1"/>
                <w:color w:val="auto"/>
              </w:rPr>
              <w:t>Additional</w:t>
            </w: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center"/>
              <w:ind w:right="53"/>
              <w:spacing w:after="0" w:line="182" w:lineRule="exact"/>
              <w:rPr>
                <w:sz w:val="20"/>
                <w:szCs w:val="20"/>
                <w:color w:val="auto"/>
              </w:rPr>
            </w:pPr>
            <w:r>
              <w:rPr>
                <w:rFonts w:ascii="Times New Roman" w:cs="Times New Roman" w:eastAsia="Times New Roman" w:hAnsi="Times New Roman"/>
                <w:sz w:val="17"/>
                <w:szCs w:val="17"/>
                <w:b w:val="1"/>
                <w:bCs w:val="1"/>
                <w:color w:val="auto"/>
                <w:w w:val="99"/>
              </w:rPr>
              <w:t>Equity /</w:t>
            </w:r>
          </w:p>
        </w:tc>
        <w:tc>
          <w:tcPr>
            <w:tcW w:w="0" w:type="dxa"/>
            <w:vAlign w:val="bottom"/>
          </w:tcPr>
          <w:p>
            <w:pPr>
              <w:spacing w:after="0"/>
              <w:rPr>
                <w:sz w:val="1"/>
                <w:szCs w:val="1"/>
                <w:color w:val="auto"/>
              </w:rPr>
            </w:pPr>
          </w:p>
        </w:tc>
      </w:tr>
      <w:tr>
        <w:trPr>
          <w:trHeight w:val="45"/>
        </w:trPr>
        <w:tc>
          <w:tcPr>
            <w:tcW w:w="336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4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b w:val="1"/>
                <w:bCs w:val="1"/>
                <w:color w:val="auto"/>
              </w:rPr>
              <w:t>Units</w:t>
            </w:r>
          </w:p>
        </w:tc>
        <w:tc>
          <w:tcPr>
            <w:tcW w:w="200" w:type="dxa"/>
            <w:vAlign w:val="bottom"/>
          </w:tcPr>
          <w:p>
            <w:pPr>
              <w:spacing w:after="0"/>
              <w:rPr>
                <w:sz w:val="14"/>
                <w:szCs w:val="14"/>
                <w:color w:val="auto"/>
              </w:rPr>
            </w:pPr>
          </w:p>
        </w:tc>
        <w:tc>
          <w:tcPr>
            <w:tcW w:w="110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60" w:type="dxa"/>
            <w:vAlign w:val="bottom"/>
          </w:tcPr>
          <w:p>
            <w:pPr>
              <w:spacing w:after="0"/>
              <w:rPr>
                <w:sz w:val="14"/>
                <w:szCs w:val="14"/>
                <w:color w:val="auto"/>
              </w:rPr>
            </w:pPr>
          </w:p>
        </w:tc>
        <w:tc>
          <w:tcPr>
            <w:tcW w:w="10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60" w:type="dxa"/>
            <w:vAlign w:val="bottom"/>
          </w:tcPr>
          <w:p>
            <w:pPr>
              <w:spacing w:after="0"/>
              <w:rPr>
                <w:sz w:val="14"/>
                <w:szCs w:val="14"/>
                <w:color w:val="auto"/>
              </w:rPr>
            </w:pPr>
          </w:p>
        </w:tc>
        <w:tc>
          <w:tcPr>
            <w:tcW w:w="860" w:type="dxa"/>
            <w:vAlign w:val="bottom"/>
            <w:vMerge w:val="restart"/>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Pr>
          <w:p>
            <w:pPr>
              <w:spacing w:after="0"/>
              <w:rPr>
                <w:sz w:val="14"/>
                <w:szCs w:val="14"/>
                <w:color w:val="auto"/>
              </w:rPr>
            </w:pPr>
          </w:p>
        </w:tc>
        <w:tc>
          <w:tcPr>
            <w:tcW w:w="980" w:type="dxa"/>
            <w:vAlign w:val="bottom"/>
            <w:gridSpan w:val="2"/>
          </w:tcPr>
          <w:p>
            <w:pPr>
              <w:jc w:val="center"/>
              <w:ind w:right="180"/>
              <w:spacing w:after="0" w:line="169" w:lineRule="exact"/>
              <w:rPr>
                <w:sz w:val="20"/>
                <w:szCs w:val="20"/>
                <w:color w:val="auto"/>
              </w:rPr>
            </w:pPr>
            <w:r>
              <w:rPr>
                <w:rFonts w:ascii="Times New Roman" w:cs="Times New Roman" w:eastAsia="Times New Roman" w:hAnsi="Times New Roman"/>
                <w:sz w:val="17"/>
                <w:szCs w:val="17"/>
                <w:b w:val="1"/>
                <w:bCs w:val="1"/>
                <w:color w:val="auto"/>
              </w:rPr>
              <w:t>Paid in</w:t>
            </w:r>
          </w:p>
        </w:tc>
        <w:tc>
          <w:tcPr>
            <w:tcW w:w="11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53"/>
              <w:spacing w:after="0" w:line="169" w:lineRule="exact"/>
              <w:rPr>
                <w:sz w:val="20"/>
                <w:szCs w:val="20"/>
                <w:color w:val="auto"/>
              </w:rPr>
            </w:pPr>
            <w:r>
              <w:rPr>
                <w:rFonts w:ascii="Times New Roman" w:cs="Times New Roman" w:eastAsia="Times New Roman" w:hAnsi="Times New Roman"/>
                <w:sz w:val="17"/>
                <w:szCs w:val="17"/>
                <w:b w:val="1"/>
                <w:bCs w:val="1"/>
                <w:color w:val="auto"/>
              </w:rPr>
              <w:t>Partners'</w:t>
            </w: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Borders>
              <w:right w:val="single" w:sz="8" w:color="auto"/>
            </w:tcBorders>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6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40" w:type="dxa"/>
            <w:vAlign w:val="bottom"/>
          </w:tcPr>
          <w:p>
            <w:pPr>
              <w:spacing w:after="0"/>
              <w:rPr>
                <w:sz w:val="20"/>
                <w:szCs w:val="20"/>
                <w:color w:val="auto"/>
              </w:rPr>
            </w:pPr>
          </w:p>
        </w:tc>
        <w:tc>
          <w:tcPr>
            <w:tcW w:w="920" w:type="dxa"/>
            <w:vAlign w:val="bottom"/>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0" w:type="dxa"/>
            <w:vAlign w:val="bottom"/>
          </w:tcPr>
          <w:p>
            <w:pPr>
              <w:spacing w:after="0"/>
              <w:rPr>
                <w:sz w:val="1"/>
                <w:szCs w:val="1"/>
                <w:color w:val="auto"/>
              </w:rPr>
            </w:pPr>
          </w:p>
        </w:tc>
      </w:tr>
      <w:tr>
        <w:trPr>
          <w:trHeight w:val="214"/>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January 31, 2025</w:t>
            </w:r>
          </w:p>
        </w:tc>
        <w:tc>
          <w:tcPr>
            <w:tcW w:w="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495,161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11,196,141</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(5,588,440)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(5,588,440)</w:t>
            </w:r>
          </w:p>
        </w:tc>
        <w:tc>
          <w:tcPr>
            <w:tcW w:w="0" w:type="dxa"/>
            <w:vAlign w:val="bottom"/>
          </w:tcPr>
          <w:p>
            <w:pPr>
              <w:spacing w:after="0"/>
              <w:rPr>
                <w:sz w:val="1"/>
                <w:szCs w:val="1"/>
                <w:color w:val="auto"/>
              </w:rPr>
            </w:pPr>
          </w:p>
        </w:tc>
      </w:tr>
      <w:tr>
        <w:trPr>
          <w:trHeight w:val="221"/>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Vesting of incentive units into Class B Units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9"/>
        </w:trPr>
        <w:tc>
          <w:tcPr>
            <w:tcW w:w="338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Adjustment to reflect redemption value of</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redeemable convertible Class A Units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23,787</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(23,787)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(23,787)</w:t>
            </w:r>
          </w:p>
        </w:tc>
        <w:tc>
          <w:tcPr>
            <w:tcW w:w="0" w:type="dxa"/>
            <w:vAlign w:val="bottom"/>
          </w:tcPr>
          <w:p>
            <w:pPr>
              <w:spacing w:after="0"/>
              <w:rPr>
                <w:sz w:val="1"/>
                <w:szCs w:val="1"/>
                <w:color w:val="auto"/>
              </w:rPr>
            </w:pPr>
          </w:p>
        </w:tc>
      </w:tr>
      <w:tr>
        <w:trPr>
          <w:trHeight w:val="169"/>
        </w:trPr>
        <w:tc>
          <w:tcPr>
            <w:tcW w:w="33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7"/>
                <w:szCs w:val="17"/>
                <w:color w:val="auto"/>
              </w:rPr>
              <w:t>Adjustment to reflect redemption value of</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redeemable convertible Class B Units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229,744</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(229,744)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(229,744)</w:t>
            </w:r>
          </w:p>
        </w:tc>
        <w:tc>
          <w:tcPr>
            <w:tcW w:w="0" w:type="dxa"/>
            <w:vAlign w:val="bottom"/>
          </w:tcPr>
          <w:p>
            <w:pPr>
              <w:spacing w:after="0"/>
              <w:rPr>
                <w:sz w:val="1"/>
                <w:szCs w:val="1"/>
                <w:color w:val="auto"/>
              </w:rPr>
            </w:pPr>
          </w:p>
        </w:tc>
      </w:tr>
      <w:tr>
        <w:trPr>
          <w:trHeight w:val="169"/>
        </w:trPr>
        <w:tc>
          <w:tcPr>
            <w:tcW w:w="338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Equity-based compensation expense prior to</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Conversion</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w:t>
            </w:r>
          </w:p>
        </w:tc>
        <w:tc>
          <w:tcPr>
            <w:tcW w:w="0" w:type="dxa"/>
            <w:vAlign w:val="bottom"/>
          </w:tcPr>
          <w:p>
            <w:pPr>
              <w:spacing w:after="0"/>
              <w:rPr>
                <w:sz w:val="1"/>
                <w:szCs w:val="1"/>
                <w:color w:val="auto"/>
              </w:rPr>
            </w:pPr>
          </w:p>
        </w:tc>
      </w:tr>
      <w:tr>
        <w:trPr>
          <w:trHeight w:val="221"/>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 prior to Corporate Conversion</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(19,255)</w:t>
            </w:r>
          </w:p>
        </w:tc>
        <w:tc>
          <w:tcPr>
            <w:tcW w:w="0" w:type="dxa"/>
            <w:vAlign w:val="bottom"/>
          </w:tcPr>
          <w:p>
            <w:pPr>
              <w:spacing w:after="0"/>
              <w:rPr>
                <w:sz w:val="1"/>
                <w:szCs w:val="1"/>
                <w:color w:val="auto"/>
              </w:rPr>
            </w:pPr>
          </w:p>
        </w:tc>
      </w:tr>
      <w:tr>
        <w:trPr>
          <w:trHeight w:val="221"/>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Corporate Conversion</w:t>
            </w:r>
          </w:p>
        </w:tc>
        <w:tc>
          <w:tcPr>
            <w:tcW w:w="1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(498,210)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(11,449,672)</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497,807</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5,588,396</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5,861,226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11,449,672</w:t>
            </w:r>
          </w:p>
        </w:tc>
        <w:tc>
          <w:tcPr>
            <w:tcW w:w="0" w:type="dxa"/>
            <w:vAlign w:val="bottom"/>
          </w:tcPr>
          <w:p>
            <w:pPr>
              <w:spacing w:after="0"/>
              <w:rPr>
                <w:sz w:val="1"/>
                <w:szCs w:val="1"/>
                <w:color w:val="auto"/>
              </w:rPr>
            </w:pPr>
          </w:p>
        </w:tc>
      </w:tr>
      <w:tr>
        <w:trPr>
          <w:trHeight w:val="169"/>
        </w:trPr>
        <w:tc>
          <w:tcPr>
            <w:tcW w:w="33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7"/>
                <w:szCs w:val="17"/>
                <w:color w:val="auto"/>
              </w:rPr>
              <w:t>Issuance of common stock in connection with</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7"/>
                <w:szCs w:val="17"/>
                <w:color w:val="auto"/>
              </w:rPr>
              <w:t>IPO, net of underwriters’ discounts and</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commissions and offering costs and tax effects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1,251,430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1,251,436</w:t>
            </w:r>
          </w:p>
        </w:tc>
        <w:tc>
          <w:tcPr>
            <w:tcW w:w="0" w:type="dxa"/>
            <w:vAlign w:val="bottom"/>
          </w:tcPr>
          <w:p>
            <w:pPr>
              <w:spacing w:after="0"/>
              <w:rPr>
                <w:sz w:val="1"/>
                <w:szCs w:val="1"/>
                <w:color w:val="auto"/>
              </w:rPr>
            </w:pPr>
          </w:p>
        </w:tc>
      </w:tr>
      <w:tr>
        <w:trPr>
          <w:trHeight w:val="169"/>
        </w:trPr>
        <w:tc>
          <w:tcPr>
            <w:tcW w:w="338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Equity-based compensation expense after</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Conversion</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105,096</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105,096</w:t>
            </w:r>
          </w:p>
        </w:tc>
        <w:tc>
          <w:tcPr>
            <w:tcW w:w="0" w:type="dxa"/>
            <w:vAlign w:val="bottom"/>
          </w:tcPr>
          <w:p>
            <w:pPr>
              <w:spacing w:after="0"/>
              <w:rPr>
                <w:sz w:val="1"/>
                <w:szCs w:val="1"/>
                <w:color w:val="auto"/>
              </w:rPr>
            </w:pPr>
          </w:p>
        </w:tc>
      </w:tr>
      <w:tr>
        <w:trPr>
          <w:trHeight w:val="169"/>
        </w:trPr>
        <w:tc>
          <w:tcPr>
            <w:tcW w:w="33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7"/>
                <w:szCs w:val="17"/>
                <w:color w:val="auto"/>
              </w:rPr>
              <w:t>Issuance of common stock upon settlement of</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restricted stock</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after Corporate Conversion</w:t>
            </w:r>
          </w:p>
        </w:tc>
        <w:tc>
          <w:tcPr>
            <w:tcW w:w="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(168,057)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(168,057)</w:t>
            </w:r>
          </w:p>
        </w:tc>
        <w:tc>
          <w:tcPr>
            <w:tcW w:w="0" w:type="dxa"/>
            <w:vAlign w:val="bottom"/>
          </w:tcPr>
          <w:p>
            <w:pPr>
              <w:spacing w:after="0"/>
              <w:rPr>
                <w:sz w:val="1"/>
                <w:szCs w:val="1"/>
                <w:color w:val="auto"/>
              </w:rPr>
            </w:pPr>
          </w:p>
        </w:tc>
      </w:tr>
      <w:tr>
        <w:trPr>
          <w:trHeight w:val="254"/>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April 30, 2025</w:t>
            </w:r>
          </w:p>
        </w:tc>
        <w:tc>
          <w:tcPr>
            <w:tcW w:w="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555,515</w:t>
            </w:r>
          </w:p>
        </w:tc>
        <w:tc>
          <w:tcPr>
            <w:tcW w:w="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6,945,784</w:t>
            </w:r>
          </w:p>
        </w:tc>
        <w:tc>
          <w:tcPr>
            <w:tcW w:w="60" w:type="dxa"/>
            <w:vAlign w:val="bottom"/>
          </w:tcPr>
          <w:p>
            <w:pPr>
              <w:spacing w:after="0"/>
              <w:rPr>
                <w:sz w:val="22"/>
                <w:szCs w:val="22"/>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(168,057)</w:t>
            </w:r>
          </w:p>
        </w:tc>
        <w:tc>
          <w:tcPr>
            <w:tcW w:w="80" w:type="dxa"/>
            <w:vAlign w:val="bottom"/>
          </w:tcPr>
          <w:p>
            <w:pPr>
              <w:spacing w:after="0"/>
              <w:rPr>
                <w:sz w:val="22"/>
                <w:szCs w:val="22"/>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6,777,783</w:t>
            </w:r>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SAILPOINT,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Pr>
          <w:p>
            <w:pPr>
              <w:spacing w:after="0"/>
              <w:rPr>
                <w:sz w:val="19"/>
                <w:szCs w:val="19"/>
                <w:color w:val="auto"/>
              </w:rPr>
            </w:pPr>
          </w:p>
        </w:tc>
        <w:tc>
          <w:tcPr>
            <w:tcW w:w="3240" w:type="dxa"/>
            <w:vAlign w:val="bottom"/>
            <w:tcBorders>
              <w:bottom w:val="single" w:sz="8" w:color="auto"/>
            </w:tcBorders>
            <w:gridSpan w:val="5"/>
          </w:tcPr>
          <w:p>
            <w:pPr>
              <w:jc w:val="right"/>
              <w:ind w:right="406"/>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c>
          <w:tcPr>
            <w:tcW w:w="0" w:type="dxa"/>
            <w:vAlign w:val="bottom"/>
          </w:tcPr>
          <w:p>
            <w:pPr>
              <w:spacing w:after="0"/>
              <w:rPr>
                <w:sz w:val="1"/>
                <w:szCs w:val="1"/>
                <w:color w:val="auto"/>
              </w:rPr>
            </w:pPr>
          </w:p>
        </w:tc>
      </w:tr>
      <w:tr>
        <w:trPr>
          <w:trHeight w:val="214"/>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171"/>
        </w:trPr>
        <w:tc>
          <w:tcPr>
            <w:tcW w:w="798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00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(74,674)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(187,312)</w:t>
            </w:r>
          </w:p>
        </w:tc>
        <w:tc>
          <w:tcPr>
            <w:tcW w:w="0" w:type="dxa"/>
            <w:vAlign w:val="bottom"/>
          </w:tcPr>
          <w:p>
            <w:pPr>
              <w:spacing w:after="0"/>
              <w:rPr>
                <w:sz w:val="1"/>
                <w:szCs w:val="1"/>
                <w:color w:val="auto"/>
              </w:rPr>
            </w:pPr>
          </w:p>
        </w:tc>
      </w:tr>
      <w:tr>
        <w:trPr>
          <w:trHeight w:val="193"/>
        </w:trPr>
        <w:tc>
          <w:tcPr>
            <w:tcW w:w="7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53,105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52,065</w:t>
            </w:r>
          </w:p>
        </w:tc>
        <w:tc>
          <w:tcPr>
            <w:tcW w:w="0" w:type="dxa"/>
            <w:vAlign w:val="bottom"/>
          </w:tcPr>
          <w:p>
            <w:pPr>
              <w:spacing w:after="0"/>
              <w:rPr>
                <w:sz w:val="1"/>
                <w:szCs w:val="1"/>
                <w:color w:val="auto"/>
              </w:rPr>
            </w:pPr>
          </w:p>
        </w:tc>
      </w:tr>
      <w:tr>
        <w:trPr>
          <w:trHeight w:val="193"/>
        </w:trPr>
        <w:tc>
          <w:tcPr>
            <w:tcW w:w="7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Amortization and write-off of debt issuance costs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15,641</w:t>
            </w:r>
          </w:p>
        </w:tc>
        <w:tc>
          <w:tcPr>
            <w:tcW w:w="0" w:type="dxa"/>
            <w:vAlign w:val="bottom"/>
          </w:tcPr>
          <w:p>
            <w:pPr>
              <w:spacing w:after="0"/>
              <w:rPr>
                <w:sz w:val="1"/>
                <w:szCs w:val="1"/>
                <w:color w:val="auto"/>
              </w:rPr>
            </w:pPr>
          </w:p>
        </w:tc>
      </w:tr>
      <w:tr>
        <w:trPr>
          <w:trHeight w:val="197"/>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Amortization of contract acquisition costs</w:t>
            </w: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12,601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8,167</w:t>
            </w:r>
          </w:p>
        </w:tc>
        <w:tc>
          <w:tcPr>
            <w:tcW w:w="0" w:type="dxa"/>
            <w:vAlign w:val="bottom"/>
          </w:tcPr>
          <w:p>
            <w:pPr>
              <w:spacing w:after="0"/>
              <w:rPr>
                <w:sz w:val="1"/>
                <w:szCs w:val="1"/>
                <w:color w:val="auto"/>
              </w:rPr>
            </w:pPr>
          </w:p>
        </w:tc>
      </w:tr>
      <w:tr>
        <w:trPr>
          <w:trHeight w:val="193"/>
        </w:trPr>
        <w:tc>
          <w:tcPr>
            <w:tcW w:w="7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Provision for credit losses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3,562</w:t>
            </w:r>
          </w:p>
        </w:tc>
        <w:tc>
          <w:tcPr>
            <w:tcW w:w="0" w:type="dxa"/>
            <w:vAlign w:val="bottom"/>
          </w:tcPr>
          <w:p>
            <w:pPr>
              <w:spacing w:after="0"/>
              <w:rPr>
                <w:sz w:val="1"/>
                <w:szCs w:val="1"/>
                <w:color w:val="auto"/>
              </w:rPr>
            </w:pPr>
          </w:p>
        </w:tc>
      </w:tr>
      <w:tr>
        <w:trPr>
          <w:trHeight w:val="197"/>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Equity-based compensation expense, net of amounts capitalized</w:t>
            </w: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69,106</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105,712</w:t>
            </w:r>
          </w:p>
        </w:tc>
        <w:tc>
          <w:tcPr>
            <w:tcW w:w="0" w:type="dxa"/>
            <w:vAlign w:val="bottom"/>
          </w:tcPr>
          <w:p>
            <w:pPr>
              <w:spacing w:after="0"/>
              <w:rPr>
                <w:sz w:val="1"/>
                <w:szCs w:val="1"/>
                <w:color w:val="auto"/>
              </w:rPr>
            </w:pPr>
          </w:p>
        </w:tc>
      </w:tr>
      <w:tr>
        <w:trPr>
          <w:trHeight w:val="193"/>
        </w:trPr>
        <w:tc>
          <w:tcPr>
            <w:tcW w:w="7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Deferred taxes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(9,766)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(25,325)</w:t>
            </w:r>
          </w:p>
        </w:tc>
        <w:tc>
          <w:tcPr>
            <w:tcW w:w="0" w:type="dxa"/>
            <w:vAlign w:val="bottom"/>
          </w:tcPr>
          <w:p>
            <w:pPr>
              <w:spacing w:after="0"/>
              <w:rPr>
                <w:sz w:val="1"/>
                <w:szCs w:val="1"/>
                <w:color w:val="auto"/>
              </w:rPr>
            </w:pPr>
          </w:p>
        </w:tc>
      </w:tr>
      <w:tr>
        <w:trPr>
          <w:trHeight w:val="197"/>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w:t>
            </w: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7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changes in operating assets and liabilities, net of acquisitions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Accounts receivable</w:t>
            </w: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78,416</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60,036</w:t>
            </w:r>
          </w:p>
        </w:tc>
        <w:tc>
          <w:tcPr>
            <w:tcW w:w="0" w:type="dxa"/>
            <w:vAlign w:val="bottom"/>
          </w:tcPr>
          <w:p>
            <w:pPr>
              <w:spacing w:after="0"/>
              <w:rPr>
                <w:sz w:val="1"/>
                <w:szCs w:val="1"/>
                <w:color w:val="auto"/>
              </w:rPr>
            </w:pPr>
          </w:p>
        </w:tc>
      </w:tr>
      <w:tr>
        <w:trPr>
          <w:trHeight w:val="193"/>
        </w:trPr>
        <w:tc>
          <w:tcPr>
            <w:tcW w:w="7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Contract acquisition costs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(18,517)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(9,466)</w:t>
            </w:r>
          </w:p>
        </w:tc>
        <w:tc>
          <w:tcPr>
            <w:tcW w:w="0" w:type="dxa"/>
            <w:vAlign w:val="bottom"/>
          </w:tcPr>
          <w:p>
            <w:pPr>
              <w:spacing w:after="0"/>
              <w:rPr>
                <w:sz w:val="1"/>
                <w:szCs w:val="1"/>
                <w:color w:val="auto"/>
              </w:rPr>
            </w:pPr>
          </w:p>
        </w:tc>
      </w:tr>
      <w:tr>
        <w:trPr>
          <w:trHeight w:val="197"/>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Contract assets</w:t>
            </w: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(3,817)</w:t>
            </w:r>
          </w:p>
        </w:tc>
        <w:tc>
          <w:tcPr>
            <w:tcW w:w="0" w:type="dxa"/>
            <w:vAlign w:val="bottom"/>
          </w:tcPr>
          <w:p>
            <w:pPr>
              <w:spacing w:after="0"/>
              <w:rPr>
                <w:sz w:val="1"/>
                <w:szCs w:val="1"/>
                <w:color w:val="auto"/>
              </w:rPr>
            </w:pPr>
          </w:p>
        </w:tc>
      </w:tr>
      <w:tr>
        <w:trPr>
          <w:trHeight w:val="193"/>
        </w:trPr>
        <w:tc>
          <w:tcPr>
            <w:tcW w:w="7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Prepayments and other current assets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(12,965)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(14,990)</w:t>
            </w:r>
          </w:p>
        </w:tc>
        <w:tc>
          <w:tcPr>
            <w:tcW w:w="0" w:type="dxa"/>
            <w:vAlign w:val="bottom"/>
          </w:tcPr>
          <w:p>
            <w:pPr>
              <w:spacing w:after="0"/>
              <w:rPr>
                <w:sz w:val="1"/>
                <w:szCs w:val="1"/>
                <w:color w:val="auto"/>
              </w:rPr>
            </w:pPr>
          </w:p>
        </w:tc>
      </w:tr>
      <w:tr>
        <w:trPr>
          <w:trHeight w:val="197"/>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non-current assets</w:t>
            </w: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0" w:type="dxa"/>
            <w:vAlign w:val="bottom"/>
          </w:tcPr>
          <w:p>
            <w:pPr>
              <w:spacing w:after="0"/>
              <w:rPr>
                <w:sz w:val="1"/>
                <w:szCs w:val="1"/>
                <w:color w:val="auto"/>
              </w:rPr>
            </w:pPr>
          </w:p>
        </w:tc>
      </w:tr>
      <w:tr>
        <w:trPr>
          <w:trHeight w:val="193"/>
        </w:trPr>
        <w:tc>
          <w:tcPr>
            <w:tcW w:w="7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Operating leases, net</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w:t>
            </w:r>
          </w:p>
        </w:tc>
        <w:tc>
          <w:tcPr>
            <w:tcW w:w="0" w:type="dxa"/>
            <w:vAlign w:val="bottom"/>
          </w:tcPr>
          <w:p>
            <w:pPr>
              <w:spacing w:after="0"/>
              <w:rPr>
                <w:sz w:val="1"/>
                <w:szCs w:val="1"/>
                <w:color w:val="auto"/>
              </w:rPr>
            </w:pPr>
          </w:p>
        </w:tc>
      </w:tr>
      <w:tr>
        <w:trPr>
          <w:trHeight w:val="197"/>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Accounts payable</w:t>
            </w: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7,720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w:t>
            </w:r>
          </w:p>
        </w:tc>
        <w:tc>
          <w:tcPr>
            <w:tcW w:w="0" w:type="dxa"/>
            <w:vAlign w:val="bottom"/>
          </w:tcPr>
          <w:p>
            <w:pPr>
              <w:spacing w:after="0"/>
              <w:rPr>
                <w:sz w:val="1"/>
                <w:szCs w:val="1"/>
                <w:color w:val="auto"/>
              </w:rPr>
            </w:pPr>
          </w:p>
        </w:tc>
      </w:tr>
      <w:tr>
        <w:trPr>
          <w:trHeight w:val="193"/>
        </w:trPr>
        <w:tc>
          <w:tcPr>
            <w:tcW w:w="7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(44,500)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(90,626)</w:t>
            </w:r>
          </w:p>
        </w:tc>
        <w:tc>
          <w:tcPr>
            <w:tcW w:w="0" w:type="dxa"/>
            <w:vAlign w:val="bottom"/>
          </w:tcPr>
          <w:p>
            <w:pPr>
              <w:spacing w:after="0"/>
              <w:rPr>
                <w:sz w:val="1"/>
                <w:szCs w:val="1"/>
                <w:color w:val="auto"/>
              </w:rPr>
            </w:pPr>
          </w:p>
        </w:tc>
      </w:tr>
      <w:tr>
        <w:trPr>
          <w:trHeight w:val="197"/>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Deferred revenue</w:t>
            </w:r>
          </w:p>
        </w:tc>
        <w:tc>
          <w:tcPr>
            <w:tcW w:w="10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(19,892)</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(11,124)</w:t>
            </w:r>
          </w:p>
        </w:tc>
        <w:tc>
          <w:tcPr>
            <w:tcW w:w="0" w:type="dxa"/>
            <w:vAlign w:val="bottom"/>
          </w:tcPr>
          <w:p>
            <w:pPr>
              <w:spacing w:after="0"/>
              <w:rPr>
                <w:sz w:val="1"/>
                <w:szCs w:val="1"/>
                <w:color w:val="auto"/>
              </w:rPr>
            </w:pPr>
          </w:p>
        </w:tc>
      </w:tr>
      <w:tr>
        <w:trPr>
          <w:trHeight w:val="186"/>
        </w:trPr>
        <w:tc>
          <w:tcPr>
            <w:tcW w:w="79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5"/>
                <w:szCs w:val="15"/>
                <w:color w:val="auto"/>
              </w:rPr>
              <w:t>Net cash provided by (used in) operating activities</w:t>
            </w: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38,241</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(96,807)</w:t>
            </w:r>
          </w:p>
        </w:tc>
        <w:tc>
          <w:tcPr>
            <w:tcW w:w="0" w:type="dxa"/>
            <w:vAlign w:val="bottom"/>
          </w:tcPr>
          <w:p>
            <w:pPr>
              <w:spacing w:after="0"/>
              <w:rPr>
                <w:sz w:val="1"/>
                <w:szCs w:val="1"/>
                <w:color w:val="auto"/>
              </w:rPr>
            </w:pPr>
          </w:p>
        </w:tc>
      </w:tr>
      <w:tr>
        <w:trPr>
          <w:trHeight w:val="17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 of property and equipment</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(2,191)</w:t>
            </w:r>
          </w:p>
        </w:tc>
        <w:tc>
          <w:tcPr>
            <w:tcW w:w="0" w:type="dxa"/>
            <w:vAlign w:val="bottom"/>
          </w:tcPr>
          <w:p>
            <w:pPr>
              <w:spacing w:after="0"/>
              <w:rPr>
                <w:sz w:val="1"/>
                <w:szCs w:val="1"/>
                <w:color w:val="auto"/>
              </w:rPr>
            </w:pPr>
          </w:p>
        </w:tc>
      </w:tr>
      <w:tr>
        <w:trPr>
          <w:trHeight w:val="19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Capitalized software development costs</w:t>
            </w:r>
          </w:p>
        </w:tc>
        <w:tc>
          <w:tcPr>
            <w:tcW w:w="10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(4,752)</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(1,706)</w:t>
            </w:r>
          </w:p>
        </w:tc>
        <w:tc>
          <w:tcPr>
            <w:tcW w:w="0" w:type="dxa"/>
            <w:vAlign w:val="bottom"/>
          </w:tcPr>
          <w:p>
            <w:pPr>
              <w:spacing w:after="0"/>
              <w:rPr>
                <w:sz w:val="1"/>
                <w:szCs w:val="1"/>
                <w:color w:val="auto"/>
              </w:rPr>
            </w:pPr>
          </w:p>
        </w:tc>
      </w:tr>
      <w:tr>
        <w:trPr>
          <w:trHeight w:val="186"/>
        </w:trPr>
        <w:tc>
          <w:tcPr>
            <w:tcW w:w="79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(5,721)</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(3,897)</w:t>
            </w:r>
          </w:p>
        </w:tc>
        <w:tc>
          <w:tcPr>
            <w:tcW w:w="0" w:type="dxa"/>
            <w:vAlign w:val="bottom"/>
          </w:tcPr>
          <w:p>
            <w:pPr>
              <w:spacing w:after="0"/>
              <w:rPr>
                <w:sz w:val="1"/>
                <w:szCs w:val="1"/>
                <w:color w:val="auto"/>
              </w:rPr>
            </w:pPr>
          </w:p>
        </w:tc>
      </w:tr>
      <w:tr>
        <w:trPr>
          <w:trHeight w:val="17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IPO, net of underwriting discounts and commissions</w:t>
            </w:r>
          </w:p>
        </w:tc>
        <w:tc>
          <w:tcPr>
            <w:tcW w:w="10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1,259,681</w:t>
            </w:r>
          </w:p>
        </w:tc>
        <w:tc>
          <w:tcPr>
            <w:tcW w:w="0" w:type="dxa"/>
            <w:vAlign w:val="bottom"/>
          </w:tcPr>
          <w:p>
            <w:pPr>
              <w:spacing w:after="0"/>
              <w:rPr>
                <w:sz w:val="1"/>
                <w:szCs w:val="1"/>
                <w:color w:val="auto"/>
              </w:rPr>
            </w:pPr>
          </w:p>
        </w:tc>
      </w:tr>
      <w:tr>
        <w:trPr>
          <w:trHeight w:val="19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Repayment of Term Loans</w:t>
            </w:r>
          </w:p>
        </w:tc>
        <w:tc>
          <w:tcPr>
            <w:tcW w:w="10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(1,040,000)</w:t>
            </w:r>
          </w:p>
        </w:tc>
        <w:tc>
          <w:tcPr>
            <w:tcW w:w="0" w:type="dxa"/>
            <w:vAlign w:val="bottom"/>
          </w:tcPr>
          <w:p>
            <w:pPr>
              <w:spacing w:after="0"/>
              <w:rPr>
                <w:sz w:val="1"/>
                <w:szCs w:val="1"/>
                <w:color w:val="auto"/>
              </w:rPr>
            </w:pPr>
          </w:p>
        </w:tc>
      </w:tr>
      <w:tr>
        <w:trPr>
          <w:trHeight w:val="193"/>
        </w:trPr>
        <w:tc>
          <w:tcPr>
            <w:tcW w:w="7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Payments of deferred offering costs, net</w:t>
            </w:r>
          </w:p>
        </w:tc>
        <w:tc>
          <w:tcPr>
            <w:tcW w:w="10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(8,357)</w:t>
            </w:r>
          </w:p>
        </w:tc>
        <w:tc>
          <w:tcPr>
            <w:tcW w:w="0" w:type="dxa"/>
            <w:vAlign w:val="bottom"/>
          </w:tcPr>
          <w:p>
            <w:pPr>
              <w:spacing w:after="0"/>
              <w:rPr>
                <w:sz w:val="1"/>
                <w:szCs w:val="1"/>
                <w:color w:val="auto"/>
              </w:rPr>
            </w:pPr>
          </w:p>
        </w:tc>
      </w:tr>
      <w:tr>
        <w:trPr>
          <w:trHeight w:val="19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Payments related to holdback and contingent consideration</w:t>
            </w:r>
          </w:p>
        </w:tc>
        <w:tc>
          <w:tcPr>
            <w:tcW w:w="10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(675)</w:t>
            </w:r>
          </w:p>
        </w:tc>
        <w:tc>
          <w:tcPr>
            <w:tcW w:w="0" w:type="dxa"/>
            <w:vAlign w:val="bottom"/>
          </w:tcPr>
          <w:p>
            <w:pPr>
              <w:spacing w:after="0"/>
              <w:rPr>
                <w:sz w:val="1"/>
                <w:szCs w:val="1"/>
                <w:color w:val="auto"/>
              </w:rPr>
            </w:pPr>
          </w:p>
        </w:tc>
      </w:tr>
      <w:tr>
        <w:trPr>
          <w:trHeight w:val="186"/>
        </w:trPr>
        <w:tc>
          <w:tcPr>
            <w:tcW w:w="79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10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210,649</w:t>
            </w:r>
          </w:p>
        </w:tc>
        <w:tc>
          <w:tcPr>
            <w:tcW w:w="0" w:type="dxa"/>
            <w:vAlign w:val="bottom"/>
          </w:tcPr>
          <w:p>
            <w:pPr>
              <w:spacing w:after="0"/>
              <w:rPr>
                <w:sz w:val="1"/>
                <w:szCs w:val="1"/>
                <w:color w:val="auto"/>
              </w:rPr>
            </w:pPr>
          </w:p>
        </w:tc>
      </w:tr>
      <w:tr>
        <w:trPr>
          <w:trHeight w:val="19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32,520</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109,945</w:t>
            </w:r>
          </w:p>
        </w:tc>
        <w:tc>
          <w:tcPr>
            <w:tcW w:w="0" w:type="dxa"/>
            <w:vAlign w:val="bottom"/>
          </w:tcPr>
          <w:p>
            <w:pPr>
              <w:spacing w:after="0"/>
              <w:rPr>
                <w:sz w:val="1"/>
                <w:szCs w:val="1"/>
                <w:color w:val="auto"/>
              </w:rPr>
            </w:pPr>
          </w:p>
        </w:tc>
      </w:tr>
      <w:tr>
        <w:trPr>
          <w:trHeight w:val="19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beginning of period</w:t>
            </w: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361,386</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124,390</w:t>
            </w:r>
          </w:p>
        </w:tc>
        <w:tc>
          <w:tcPr>
            <w:tcW w:w="0" w:type="dxa"/>
            <w:vAlign w:val="bottom"/>
          </w:tcPr>
          <w:p>
            <w:pPr>
              <w:spacing w:after="0"/>
              <w:rPr>
                <w:sz w:val="1"/>
                <w:szCs w:val="1"/>
                <w:color w:val="auto"/>
              </w:rPr>
            </w:pPr>
          </w:p>
        </w:tc>
      </w:tr>
      <w:tr>
        <w:trPr>
          <w:trHeight w:val="215"/>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393,906</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234,335</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78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8"/>
        </w:trPr>
        <w:tc>
          <w:tcPr>
            <w:tcW w:w="1240" w:type="dxa"/>
            <w:vAlign w:val="bottom"/>
            <w:tcBorders>
              <w:top w:val="single" w:sz="8" w:color="0000FF"/>
            </w:tcBorders>
          </w:tcPr>
          <w:p>
            <w:pPr>
              <w:spacing w:after="0"/>
              <w:rPr>
                <w:sz w:val="24"/>
                <w:szCs w:val="24"/>
                <w:color w:val="auto"/>
              </w:rPr>
            </w:pPr>
          </w:p>
        </w:tc>
        <w:tc>
          <w:tcPr>
            <w:tcW w:w="6620" w:type="dxa"/>
            <w:vAlign w:val="bottom"/>
          </w:tcPr>
          <w:p>
            <w:pPr>
              <w:spacing w:after="0"/>
              <w:rPr>
                <w:sz w:val="24"/>
                <w:szCs w:val="24"/>
                <w:color w:val="auto"/>
              </w:rPr>
            </w:pPr>
          </w:p>
        </w:tc>
        <w:tc>
          <w:tcPr>
            <w:tcW w:w="3360" w:type="dxa"/>
            <w:vAlign w:val="bottom"/>
            <w:tcBorders>
              <w:bottom w:val="single" w:sz="8" w:color="auto"/>
            </w:tcBorders>
            <w:gridSpan w:val="5"/>
          </w:tcPr>
          <w:p>
            <w:pPr>
              <w:jc w:val="right"/>
              <w:ind w:right="465"/>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c>
          <w:tcPr>
            <w:tcW w:w="0" w:type="dxa"/>
            <w:vAlign w:val="bottom"/>
          </w:tcPr>
          <w:p>
            <w:pPr>
              <w:spacing w:after="0"/>
              <w:rPr>
                <w:sz w:val="1"/>
                <w:szCs w:val="1"/>
                <w:color w:val="auto"/>
              </w:rPr>
            </w:pPr>
          </w:p>
        </w:tc>
      </w:tr>
      <w:tr>
        <w:trPr>
          <w:trHeight w:val="214"/>
        </w:trPr>
        <w:tc>
          <w:tcPr>
            <w:tcW w:w="7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cash flow information:</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171"/>
        </w:trPr>
        <w:tc>
          <w:tcPr>
            <w:tcW w:w="78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paid for:</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Interest</w:t>
            </w:r>
          </w:p>
        </w:tc>
        <w:tc>
          <w:tcPr>
            <w:tcW w:w="1040" w:type="dxa"/>
            <w:vAlign w:val="bottom"/>
          </w:tcPr>
          <w:p>
            <w:pPr>
              <w:jc w:val="right"/>
              <w:ind w:right="881"/>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100" w:type="dxa"/>
            <w:vAlign w:val="bottom"/>
          </w:tcPr>
          <w:p>
            <w:pPr>
              <w:spacing w:after="0"/>
              <w:rPr>
                <w:sz w:val="16"/>
                <w:szCs w:val="16"/>
                <w:color w:val="auto"/>
              </w:rPr>
            </w:pPr>
          </w:p>
        </w:tc>
        <w:tc>
          <w:tcPr>
            <w:tcW w:w="3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36,570</w:t>
            </w:r>
          </w:p>
        </w:tc>
        <w:tc>
          <w:tcPr>
            <w:tcW w:w="0" w:type="dxa"/>
            <w:vAlign w:val="bottom"/>
          </w:tcPr>
          <w:p>
            <w:pPr>
              <w:spacing w:after="0"/>
              <w:rPr>
                <w:sz w:val="1"/>
                <w:szCs w:val="1"/>
                <w:color w:val="auto"/>
              </w:rPr>
            </w:pPr>
          </w:p>
        </w:tc>
      </w:tr>
      <w:tr>
        <w:trPr>
          <w:trHeight w:val="197"/>
        </w:trPr>
        <w:tc>
          <w:tcPr>
            <w:tcW w:w="7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Income taxes, net of refunds</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2,110</w:t>
            </w:r>
          </w:p>
        </w:tc>
        <w:tc>
          <w:tcPr>
            <w:tcW w:w="0" w:type="dxa"/>
            <w:vAlign w:val="bottom"/>
          </w:tcPr>
          <w:p>
            <w:pPr>
              <w:spacing w:after="0"/>
              <w:rPr>
                <w:sz w:val="1"/>
                <w:szCs w:val="1"/>
                <w:color w:val="auto"/>
              </w:rPr>
            </w:pPr>
          </w:p>
        </w:tc>
      </w:tr>
      <w:tr>
        <w:trPr>
          <w:trHeight w:val="193"/>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Cash paid for amounts included in the measurement of lease liabilities:</w:t>
            </w: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Operating cash flows from operating leases</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1,501</w:t>
            </w:r>
          </w:p>
        </w:tc>
        <w:tc>
          <w:tcPr>
            <w:tcW w:w="0" w:type="dxa"/>
            <w:vAlign w:val="bottom"/>
          </w:tcPr>
          <w:p>
            <w:pPr>
              <w:spacing w:after="0"/>
              <w:rPr>
                <w:sz w:val="1"/>
                <w:szCs w:val="1"/>
                <w:color w:val="auto"/>
              </w:rPr>
            </w:pPr>
          </w:p>
        </w:tc>
      </w:tr>
      <w:tr>
        <w:trPr>
          <w:trHeight w:val="260"/>
        </w:trPr>
        <w:tc>
          <w:tcPr>
            <w:tcW w:w="7860" w:type="dxa"/>
            <w:vAlign w:val="bottom"/>
            <w:gridSpan w:val="2"/>
          </w:tcPr>
          <w:p>
            <w:pPr>
              <w:spacing w:after="0"/>
              <w:rPr>
                <w:sz w:val="22"/>
                <w:szCs w:val="22"/>
                <w:color w:val="auto"/>
              </w:rPr>
            </w:pP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 of noncash investing and financing activities:</w:t>
            </w:r>
          </w:p>
        </w:tc>
        <w:tc>
          <w:tcPr>
            <w:tcW w:w="10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Effect of Corporate Conversion</w:t>
            </w:r>
          </w:p>
        </w:tc>
        <w:tc>
          <w:tcPr>
            <w:tcW w:w="104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11,449,672</w:t>
            </w:r>
          </w:p>
        </w:tc>
        <w:tc>
          <w:tcPr>
            <w:tcW w:w="0" w:type="dxa"/>
            <w:vAlign w:val="bottom"/>
          </w:tcPr>
          <w:p>
            <w:pPr>
              <w:spacing w:after="0"/>
              <w:rPr>
                <w:sz w:val="1"/>
                <w:szCs w:val="1"/>
                <w:color w:val="auto"/>
              </w:rPr>
            </w:pPr>
          </w:p>
        </w:tc>
      </w:tr>
      <w:tr>
        <w:trPr>
          <w:trHeight w:val="197"/>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 to reflect the redemption value of the redeemable convertible units</w:t>
            </w:r>
          </w:p>
        </w:tc>
        <w:tc>
          <w:tcPr>
            <w:tcW w:w="10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253,531</w:t>
            </w:r>
          </w:p>
        </w:tc>
        <w:tc>
          <w:tcPr>
            <w:tcW w:w="0" w:type="dxa"/>
            <w:vAlign w:val="bottom"/>
          </w:tcPr>
          <w:p>
            <w:pPr>
              <w:spacing w:after="0"/>
              <w:rPr>
                <w:sz w:val="1"/>
                <w:szCs w:val="1"/>
                <w:color w:val="auto"/>
              </w:rPr>
            </w:pPr>
          </w:p>
        </w:tc>
      </w:tr>
      <w:tr>
        <w:trPr>
          <w:trHeight w:val="193"/>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Capitalized equity-based compensation included in property and equipment, net</w:t>
            </w:r>
          </w:p>
        </w:tc>
        <w:tc>
          <w:tcPr>
            <w:tcW w:w="1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0" w:type="dxa"/>
            <w:vAlign w:val="bottom"/>
          </w:tcPr>
          <w:p>
            <w:pPr>
              <w:spacing w:after="0"/>
              <w:rPr>
                <w:sz w:val="1"/>
                <w:szCs w:val="1"/>
                <w:color w:val="auto"/>
              </w:rPr>
            </w:pPr>
          </w:p>
        </w:tc>
      </w:tr>
      <w:tr>
        <w:trPr>
          <w:trHeight w:val="197"/>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offering costs included in accounts payable and accrued expenses and other liabilities</w:t>
            </w:r>
          </w:p>
        </w:tc>
        <w:tc>
          <w:tcPr>
            <w:tcW w:w="10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w:t>
            </w:r>
          </w:p>
        </w:tc>
        <w:tc>
          <w:tcPr>
            <w:tcW w:w="0" w:type="dxa"/>
            <w:vAlign w:val="bottom"/>
          </w:tcPr>
          <w:p>
            <w:pPr>
              <w:spacing w:after="0"/>
              <w:rPr>
                <w:sz w:val="1"/>
                <w:szCs w:val="1"/>
                <w:color w:val="auto"/>
              </w:rPr>
            </w:pPr>
          </w:p>
        </w:tc>
      </w:tr>
      <w:tr>
        <w:trPr>
          <w:trHeight w:val="260"/>
        </w:trPr>
        <w:tc>
          <w:tcPr>
            <w:tcW w:w="7860" w:type="dxa"/>
            <w:vAlign w:val="bottom"/>
            <w:gridSpan w:val="2"/>
          </w:tcPr>
          <w:p>
            <w:pPr>
              <w:spacing w:after="0"/>
              <w:rPr>
                <w:sz w:val="22"/>
                <w:szCs w:val="22"/>
                <w:color w:val="auto"/>
              </w:rPr>
            </w:pP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786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5"/>
                <w:szCs w:val="15"/>
                <w:b w:val="1"/>
                <w:bCs w:val="1"/>
                <w:color w:val="auto"/>
                <w:w w:val="98"/>
              </w:rPr>
              <w:t>Reconciliation of cash, cash equivalents and restricted cash from the condensed consolidated balance sheets to the condensed</w:t>
            </w:r>
          </w:p>
        </w:tc>
        <w:tc>
          <w:tcPr>
            <w:tcW w:w="10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040" w:type="dxa"/>
            <w:vAlign w:val="bottom"/>
          </w:tcPr>
          <w:p>
            <w:pPr>
              <w:jc w:val="right"/>
              <w:ind w:right="881"/>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390,806</w:t>
            </w:r>
          </w:p>
        </w:tc>
        <w:tc>
          <w:tcPr>
            <w:tcW w:w="100" w:type="dxa"/>
            <w:vAlign w:val="bottom"/>
          </w:tcPr>
          <w:p>
            <w:pPr>
              <w:spacing w:after="0"/>
              <w:rPr>
                <w:sz w:val="16"/>
                <w:szCs w:val="16"/>
                <w:color w:val="auto"/>
              </w:rPr>
            </w:pPr>
          </w:p>
        </w:tc>
        <w:tc>
          <w:tcPr>
            <w:tcW w:w="36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228,117</w:t>
            </w:r>
          </w:p>
        </w:tc>
        <w:tc>
          <w:tcPr>
            <w:tcW w:w="0" w:type="dxa"/>
            <w:vAlign w:val="bottom"/>
          </w:tcPr>
          <w:p>
            <w:pPr>
              <w:spacing w:after="0"/>
              <w:rPr>
                <w:sz w:val="1"/>
                <w:szCs w:val="1"/>
                <w:color w:val="auto"/>
              </w:rPr>
            </w:pPr>
          </w:p>
        </w:tc>
      </w:tr>
      <w:tr>
        <w:trPr>
          <w:trHeight w:val="195"/>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cash within prepayments and other current assets</w:t>
            </w:r>
          </w:p>
        </w:tc>
        <w:tc>
          <w:tcPr>
            <w:tcW w:w="10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3,100</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6,218</w:t>
            </w:r>
          </w:p>
        </w:tc>
        <w:tc>
          <w:tcPr>
            <w:tcW w:w="0" w:type="dxa"/>
            <w:vAlign w:val="bottom"/>
          </w:tcPr>
          <w:p>
            <w:pPr>
              <w:spacing w:after="0"/>
              <w:rPr>
                <w:sz w:val="1"/>
                <w:szCs w:val="1"/>
                <w:color w:val="auto"/>
              </w:rPr>
            </w:pPr>
          </w:p>
        </w:tc>
      </w:tr>
      <w:tr>
        <w:trPr>
          <w:trHeight w:val="19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Total cash, cash equivalents, and restricted cash in the consolidated statements of cash flows</w:t>
            </w:r>
          </w:p>
        </w:tc>
        <w:tc>
          <w:tcPr>
            <w:tcW w:w="104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393,906</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234,335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SAILPOINT,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Description of Business and Summary of Significant Accounting Policies</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Organization</w:t>
      </w:r>
    </w:p>
    <w:p>
      <w:pPr>
        <w:spacing w:after="0" w:line="172"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On February 12, 2025, in connection with our initial public offering ("IPO"), SailPoint Parent, LP converted into a Delaware corporation pursuant to a statutory conversion and changed its name to SailPoint, Inc. (the "Corporate Conversion"). The purpose of the Corporate Conversion was to reorganize the Company's corporate structure so that the entity offering its securities to the public in the IPO would be a corporation rather than a limited partnership. References in this Quarterly Report on Form 10-Q to “SailPoint,” the “Company,” “we,” “us” and “our” (i) for periods prior to the Corporate Conversion, refer to SailPoint Parent, LP and, where appropriate, its consolidated subsidiaries and (ii) for periods after the Corporate Conversion, refer to SailPoint, Inc. and, where appropriate, its consolidated subsidiaries.</w:t>
      </w:r>
    </w:p>
    <w:p>
      <w:pPr>
        <w:spacing w:after="0" w:line="201"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In conjunction with the Corporate Conversion, all of the Company's outstanding partnership units were converted into an aggregate of 499,060,464 shares of our common stock. The number of shares of common stock issuable to holders of Class A Units of SailPoint Parent, LP ("Class A Units") and holders of Class B Units of SailPoint Parent, LP ("Class B Units") in connection with the Corporate Conversion were determined pursuant to the applicable provisions of the plan of conversion. The Company continues to be controlled by Thoma Bravo UGP, LLC (together with its affiliated entities, "Thoma Bravo") following the Corporate Conversion. After giving effect to the Corporate Conversion and the closing of the Company's IPO, Thoma Bravo controlled approximately 86.2% of the voting power of the Company. The condensed consolidated financial statements and footnotes give effect to the Corporate Conversion on a prospective basis as of the conversion date.</w:t>
      </w:r>
    </w:p>
    <w:p>
      <w:pPr>
        <w:spacing w:after="0" w:line="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conducts business as SailPoint and delivers solutions to enable comprehensive identity security for the enterprise.</w:t>
      </w:r>
    </w:p>
    <w:p>
      <w:pPr>
        <w:spacing w:after="0" w:line="2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Completion of Initial Public Offering</w:t>
      </w:r>
    </w:p>
    <w:p>
      <w:pPr>
        <w:spacing w:after="0" w:line="250"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On February 14, 2025, the Company closed its IPO of 60.0 million shares of its common stock, of which 57.5 million shares were sold by the Company and 2.5 million shares were sold by certain selling stockholders, at an initial offering price to the public of $23.00 per share for an aggregate offering price of approximately $1.4 billion. The Company received net proceeds of approximately $1.2 billion, net of approximately $62.8 million of underwriting discounts and commissions and approximately $11.5 million of offering costs, net.</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20"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which include the accounts of the Company and its wholly owned subsidiaries, have been prepared in conformity with accounting principles generally accepted in the United States of America (“GAAP”) and applicable rules and regulations of the Securities and Exchange Commission (the “SEC”). All intercompany accounts and transactions have been eliminated in consolidation.</w:t>
      </w:r>
    </w:p>
    <w:p>
      <w:pPr>
        <w:spacing w:after="0" w:line="58"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The condensed consolidated balance sheet data as of April 30, 2026 was derived from the Company’s audited financial statements included in its Annual Report on Form 10-K for the fiscal year ended January 31, 2026 (the “fiscal 2026 Form 10-K”) but does not include all disclosures required by GAAP. Therefore, these interim condensed consolidated financial statements and accompanying footnotes should be read in conjunction with the Company’s annual consolidated financial statements and related footnotes included in the fiscal 2026 Form 10-K.</w:t>
      </w:r>
    </w:p>
    <w:p>
      <w:pPr>
        <w:spacing w:after="0" w:line="66"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reflect all adjustments, consisting only of normal recurring adjustments, that are, in the opinion of management, necessary for the fair presentation of the Company’s results for the interim periods presented. The results of operations for the three months ended April 30, 2026 shown in this report are not necessarily indicative of the results to be expected for the full year ending January 31, 2027 or any other period. Beginning with the year ended January 31, 2026, the Company began presenting "perpetual license revenue" and "cost of perpetual license revenue" as part of "revenue - services and other" and "cost of revenue - services and other," respectively, as the amounts were not material and has recast prior period amounts accordingly to conform to the presentation in the Company's fiscal 2026 Form 10-K.</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GAAP requires management to make estimates and assumptions about future events that affect the reported amounts of assets and liabilities and disclosure of contingent assets and liabilities at the date of the financial statements and the reported amounts of revenue and expenses during the reporting period. Future events and their effects cannot be determined with certainty. On an ongoing basis, management evaluates these estimates, judgments, and assumptions.</w:t>
      </w:r>
    </w:p>
    <w:p>
      <w:pPr>
        <w:spacing w:after="0" w:line="66"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The Company bases its estimates on historical and anticipated results and trends and on various other assumptions that the Company believes are reasonable under the circumstances, including assumptions as to future events. In particular, the Company makes estimates with respect to the fair value allocation of multiple performance obligations in revenue recognition, the expected period of benefit of contract acquisition costs, and estimated useful lives and impairment of intangible assets and goodwill arising from business combinations. Appropriate adjustments, if any, to the estimates used are made prospectively based upon such periodic evaluation. Actual results could differ from those estimates.</w:t>
      </w:r>
    </w:p>
    <w:p>
      <w:pPr>
        <w:spacing w:after="0" w:line="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Credit and Other Risks</w:t>
      </w:r>
    </w:p>
    <w:p>
      <w:pPr>
        <w:spacing w:after="0" w:line="250"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of cash and cash equivalents, accounts receivable, and contract assets. The Company maintains its cash in bank deposit accounts that exceeded federally insured limits as of April 30, 2026 and January 31, 2026. There was no concentration of credit risk for customers as of April 30, 2026 and January 31, 2026 as no individual entity represented more than 10% of accounts receivable and contract assets as of such dates. No customer accounted for more than 10% of revenue during the three months ended April 30, 2026 or 2025. The Company did not experience concentration of credit risk in foreign countries as no foreign country represented more than 10% of the Company’s condensed consolidated revenues or net assets.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Significant Accounting Policies</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have been no changes to the Company’s significant accounting policies as previously disclosed in the fiscal 2026 Form 10-K.</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Accounting Standards Update 2025-05</w:t>
      </w:r>
    </w:p>
    <w:p>
      <w:pPr>
        <w:spacing w:after="0" w:line="90" w:lineRule="exact"/>
        <w:rPr>
          <w:sz w:val="20"/>
          <w:szCs w:val="20"/>
          <w:color w:val="auto"/>
        </w:rPr>
      </w:pPr>
    </w:p>
    <w:p>
      <w:pPr>
        <w:jc w:val="both"/>
        <w:ind w:firstLine="624"/>
        <w:spacing w:after="0" w:line="245" w:lineRule="auto"/>
        <w:rPr>
          <w:sz w:val="20"/>
          <w:szCs w:val="20"/>
          <w:color w:val="auto"/>
        </w:rPr>
      </w:pPr>
      <w:r>
        <w:rPr>
          <w:rFonts w:ascii="Times New Roman" w:cs="Times New Roman" w:eastAsia="Times New Roman" w:hAnsi="Times New Roman"/>
          <w:sz w:val="17"/>
          <w:szCs w:val="17"/>
          <w:color w:val="auto"/>
        </w:rPr>
        <w:t xml:space="preserve">In July 2025, the Financial Accounting Standards Board ("FASB") issued ASU-2025-05, </w:t>
      </w:r>
      <w:r>
        <w:rPr>
          <w:rFonts w:ascii="Times New Roman" w:cs="Times New Roman" w:eastAsia="Times New Roman" w:hAnsi="Times New Roman"/>
          <w:sz w:val="17"/>
          <w:szCs w:val="17"/>
          <w:i w:val="1"/>
          <w:iCs w:val="1"/>
          <w:color w:val="auto"/>
        </w:rPr>
        <w:t>Financial Instruments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Credit Losses (Topic 326):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Measurement of Credit Losses for Accounts Receivable and Contract Assets </w:t>
      </w:r>
      <w:r>
        <w:rPr>
          <w:rFonts w:ascii="Times New Roman" w:cs="Times New Roman" w:eastAsia="Times New Roman" w:hAnsi="Times New Roman"/>
          <w:sz w:val="17"/>
          <w:szCs w:val="17"/>
          <w:color w:val="auto"/>
        </w:rPr>
        <w:t>(“ASU 2025-05”), which amends Topic 326 to provide a practical expedient and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accounting policy election related to the estimation of expected credit losses for current accounts receivable and current contract assets that arise from transactions accounted for under Accounting Standards Codification (“ASC”) 606. Specifically, in developing reasonable and supportable forecasts as part of estimating expected credit losses, all entities may elect a practical expedient that assumes that current conditions as of the balance sheet date do not change for the remaining life of the asset. ASU 2025-05 is effective for annual reporting periods beginning after December 15, 2025, and interim reporting periods within those annual reporting periods, with early adoption permitted. Entities should apply the new guidance prospectively. The Company adopted this standard prospectively and it did not have a material impact on its consolidated financial statements or disclosures.</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Standards Not Yet Adopted</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Accounting Standards Update 2025-06</w:t>
      </w:r>
    </w:p>
    <w:p>
      <w:pPr>
        <w:spacing w:after="0" w:line="116"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 xml:space="preserve">In September 2025, the FASB issued ASU-2025-06, </w:t>
      </w:r>
      <w:r>
        <w:rPr>
          <w:rFonts w:ascii="Times New Roman" w:cs="Times New Roman" w:eastAsia="Times New Roman" w:hAnsi="Times New Roman"/>
          <w:sz w:val="17"/>
          <w:szCs w:val="17"/>
          <w:i w:val="1"/>
          <w:iCs w:val="1"/>
          <w:color w:val="auto"/>
        </w:rPr>
        <w:t>Intangibles—Goodwill and Other—Internal-Use Software (Subtopic 350-40): Targeted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Improvements to the Accounting for Internal-Use Software </w:t>
      </w:r>
      <w:r>
        <w:rPr>
          <w:rFonts w:ascii="Times New Roman" w:cs="Times New Roman" w:eastAsia="Times New Roman" w:hAnsi="Times New Roman"/>
          <w:sz w:val="17"/>
          <w:szCs w:val="17"/>
          <w:color w:val="auto"/>
        </w:rPr>
        <w:t>("ASU 2025-06")</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amends the guidance in ASC 350-40,</w:t>
      </w:r>
      <w:r>
        <w:rPr>
          <w:rFonts w:ascii="Times New Roman" w:cs="Times New Roman" w:eastAsia="Times New Roman" w:hAnsi="Times New Roman"/>
          <w:sz w:val="17"/>
          <w:szCs w:val="17"/>
          <w:i w:val="1"/>
          <w:iCs w:val="1"/>
          <w:color w:val="auto"/>
        </w:rPr>
        <w:t xml:space="preserve"> Intangibles—Goodwill and Other—</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i w:val="1"/>
          <w:iCs w:val="1"/>
          <w:color w:val="auto"/>
        </w:rPr>
        <w:t>Internal-Use Software</w:t>
      </w:r>
      <w:r>
        <w:rPr>
          <w:rFonts w:ascii="Times New Roman" w:cs="Times New Roman" w:eastAsia="Times New Roman" w:hAnsi="Times New Roman"/>
          <w:sz w:val="17"/>
          <w:szCs w:val="17"/>
          <w:color w:val="auto"/>
        </w:rPr>
        <w:t>. The amendments modernize the recognition and disclosure framework for internal-use software costs, removing the previous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“development stage” model and introducing a more judgment-based approach. ASU 2025-06 is effective for fiscal years beginning after December 15, 2027, and for interim periods within those annual reporting periods, with early adoption permitted. The Company is currently evaluating the impact of the new standard on its consolidated financial statements and related disclosures.</w:t>
      </w:r>
    </w:p>
    <w:p>
      <w:pPr>
        <w:spacing w:after="0" w:line="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Accounting Standards Update 2024-03</w:t>
      </w:r>
    </w:p>
    <w:p>
      <w:pPr>
        <w:spacing w:after="0" w:line="103" w:lineRule="exact"/>
        <w:rPr>
          <w:sz w:val="20"/>
          <w:szCs w:val="20"/>
          <w:color w:val="auto"/>
        </w:rPr>
      </w:pPr>
    </w:p>
    <w:p>
      <w:pPr>
        <w:jc w:val="both"/>
        <w:ind w:firstLine="624"/>
        <w:spacing w:after="0" w:line="268"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 - Reporting Comprehensive Income - Expense Disaggregation Disclosure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(Subtopic 220-40): Disaggregation of Income Statement Expenses </w:t>
      </w:r>
      <w:r>
        <w:rPr>
          <w:rFonts w:ascii="Times New Roman" w:cs="Times New Roman" w:eastAsia="Times New Roman" w:hAnsi="Times New Roman"/>
          <w:sz w:val="17"/>
          <w:szCs w:val="17"/>
          <w:color w:val="auto"/>
        </w:rPr>
        <w:t>(“ASU 2024-03”), which requires disaggregated disclosures, in the notes to the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statements, of certain categories of expenses that are included in expense line items on the face of the income statement. ASU 2024-03 is effective for annual periods beginning after December 15, 2026, and for interim periods within fiscal years beginning after December 15, 2027. Early adoption is permitted. ASU</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2024-03 should be applied on a prospective basis, with a retrospective application permitted in the financial statements. The Company is currently evaluating the impact of the new standard on its consolidated financial statements and related disclosures.</w:t>
      </w:r>
    </w:p>
    <w:p>
      <w:pPr>
        <w:spacing w:after="0" w:line="248" w:lineRule="exact"/>
        <w:rPr>
          <w:sz w:val="20"/>
          <w:szCs w:val="20"/>
          <w:color w:val="auto"/>
        </w:rPr>
      </w:pPr>
    </w:p>
    <w:p>
      <w:pPr>
        <w:ind w:left="620" w:right="8660" w:hanging="616"/>
        <w:spacing w:after="0" w:line="384" w:lineRule="auto"/>
        <w:tabs>
          <w:tab w:leader="none" w:pos="17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b w:val="1"/>
          <w:bCs w:val="1"/>
          <w:i w:val="1"/>
          <w:iCs w:val="1"/>
          <w:color w:val="auto"/>
        </w:rPr>
        <w:t>Disaggregation of Revenue</w:t>
      </w: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table presents the Company’s revenue disaggregated by subscription product categories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Pr>
          <w:p>
            <w:pPr>
              <w:spacing w:after="0"/>
              <w:rPr>
                <w:sz w:val="19"/>
                <w:szCs w:val="19"/>
                <w:color w:val="auto"/>
              </w:rPr>
            </w:pPr>
          </w:p>
        </w:tc>
        <w:tc>
          <w:tcPr>
            <w:tcW w:w="3340" w:type="dxa"/>
            <w:vAlign w:val="bottom"/>
            <w:tcBorders>
              <w:bottom w:val="single" w:sz="8" w:color="auto"/>
            </w:tcBorders>
            <w:gridSpan w:val="5"/>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r>
      <w:tr>
        <w:trPr>
          <w:trHeight w:val="214"/>
        </w:trPr>
        <w:tc>
          <w:tcPr>
            <w:tcW w:w="79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01"/>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Subscription</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1"/>
        </w:trPr>
        <w:tc>
          <w:tcPr>
            <w:tcW w:w="7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SaaS</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178,479</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131,815</w:t>
            </w:r>
          </w:p>
        </w:tc>
      </w:tr>
      <w:tr>
        <w:trPr>
          <w:trHeight w:val="221"/>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Maintenance and support</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37,389</w:t>
            </w:r>
          </w:p>
        </w:tc>
      </w:tr>
      <w:tr>
        <w:trPr>
          <w:trHeight w:val="221"/>
        </w:trPr>
        <w:tc>
          <w:tcPr>
            <w:tcW w:w="7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Term subscriptions</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40,040</w:t>
            </w:r>
          </w:p>
        </w:tc>
      </w:tr>
      <w:tr>
        <w:trPr>
          <w:trHeight w:val="221"/>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subscription services</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6,079</w:t>
            </w:r>
          </w:p>
        </w:tc>
      </w:tr>
      <w:tr>
        <w:trPr>
          <w:trHeight w:val="214"/>
        </w:trPr>
        <w:tc>
          <w:tcPr>
            <w:tcW w:w="7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Subscription</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265,821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215,323</w:t>
            </w:r>
          </w:p>
        </w:tc>
      </w:tr>
      <w:tr>
        <w:trPr>
          <w:trHeight w:val="221"/>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Services and other</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14,321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15,145</w:t>
            </w:r>
          </w:p>
        </w:tc>
      </w:tr>
      <w:tr>
        <w:trPr>
          <w:trHeight w:val="214"/>
        </w:trPr>
        <w:tc>
          <w:tcPr>
            <w:tcW w:w="79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revenue</w:t>
            </w:r>
          </w:p>
        </w:tc>
        <w:tc>
          <w:tcPr>
            <w:tcW w:w="100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280,142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230,468</w:t>
            </w:r>
          </w:p>
        </w:tc>
      </w:tr>
      <w:tr>
        <w:trPr>
          <w:trHeight w:val="20"/>
        </w:trPr>
        <w:tc>
          <w:tcPr>
            <w:tcW w:w="7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revenue the Company recognizes at a point in time and over time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80" w:type="dxa"/>
            <w:vAlign w:val="bottom"/>
          </w:tcPr>
          <w:p>
            <w:pPr>
              <w:spacing w:after="0"/>
              <w:rPr>
                <w:sz w:val="19"/>
                <w:szCs w:val="19"/>
                <w:color w:val="auto"/>
              </w:rPr>
            </w:pPr>
          </w:p>
        </w:tc>
        <w:tc>
          <w:tcPr>
            <w:tcW w:w="3360" w:type="dxa"/>
            <w:vAlign w:val="bottom"/>
            <w:tcBorders>
              <w:bottom w:val="single" w:sz="8" w:color="auto"/>
            </w:tcBorders>
            <w:gridSpan w:val="5"/>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r>
      <w:tr>
        <w:trPr>
          <w:trHeight w:val="214"/>
        </w:trPr>
        <w:tc>
          <w:tcPr>
            <w:tcW w:w="78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21"/>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recognized over time</w:t>
            </w:r>
          </w:p>
        </w:tc>
        <w:tc>
          <w:tcPr>
            <w:tcW w:w="100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255,509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204,849</w:t>
            </w:r>
          </w:p>
        </w:tc>
      </w:tr>
      <w:tr>
        <w:trPr>
          <w:trHeight w:val="221"/>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Revenue recognized at a point in time</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24,633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25,619</w:t>
            </w:r>
          </w:p>
        </w:tc>
      </w:tr>
      <w:tr>
        <w:trPr>
          <w:trHeight w:val="239"/>
        </w:trPr>
        <w:tc>
          <w:tcPr>
            <w:tcW w:w="7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revenue</w:t>
            </w:r>
          </w:p>
        </w:tc>
        <w:tc>
          <w:tcPr>
            <w:tcW w:w="1000" w:type="dxa"/>
            <w:vAlign w:val="bottom"/>
            <w:tcBorders>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280,142</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230,468</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Contract Balances</w:t>
      </w:r>
    </w:p>
    <w:p>
      <w:pPr>
        <w:spacing w:after="0" w:line="120"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Deferred revenue consists primarily of payments received in advance of revenue recognition under the Company’s contracts with customers. Revenue recognized during the three months ended April 30, 2026 and 2025 that was included in the deferred revenue balances at the beginning of the respective periods was $195.5 million and $160.3 million, respectively.</w:t>
      </w:r>
    </w:p>
    <w:p>
      <w:pPr>
        <w:spacing w:after="0" w:line="2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Remaining Performance Obligations</w:t>
      </w:r>
    </w:p>
    <w:p>
      <w:pPr>
        <w:spacing w:after="0" w:line="120" w:lineRule="exact"/>
        <w:rPr>
          <w:sz w:val="20"/>
          <w:szCs w:val="20"/>
          <w:color w:val="auto"/>
        </w:rPr>
      </w:pPr>
    </w:p>
    <w:p>
      <w:pPr>
        <w:jc w:val="both"/>
        <w:ind w:firstLine="624"/>
        <w:spacing w:after="0" w:line="266" w:lineRule="auto"/>
        <w:rPr>
          <w:sz w:val="20"/>
          <w:szCs w:val="20"/>
          <w:color w:val="auto"/>
        </w:rPr>
      </w:pPr>
      <w:r>
        <w:rPr>
          <w:rFonts w:ascii="Times New Roman" w:cs="Times New Roman" w:eastAsia="Times New Roman" w:hAnsi="Times New Roman"/>
          <w:sz w:val="17"/>
          <w:szCs w:val="17"/>
          <w:color w:val="auto"/>
        </w:rPr>
        <w:t>The Company’s contracts with customers include amounts allocated to performance obligations that will be satisfied at a later date. These remaining performance obligations represent contract value that has not yet been recognized as revenue. Remaining performance obligations includes both invoices that have been issued to customers but have not been recognized as revenue and amounts that will be invoiced and recognized as revenue in future periods. As of April 30, 2026, remaining performance obligations were $1.8 billion, of which the Company expects to recognize $886.6 million as revenue over the next 12 months.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Allowance for Expected Credit Losses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balance of the allowance for expected credit losses for accounts receivable and contract assets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April 30, 2026</w:t>
            </w:r>
          </w:p>
        </w:tc>
        <w:tc>
          <w:tcPr>
            <w:tcW w:w="180" w:type="dxa"/>
            <w:vAlign w:val="bottom"/>
          </w:tcPr>
          <w:p>
            <w:pPr>
              <w:spacing w:after="0"/>
              <w:rPr>
                <w:sz w:val="19"/>
                <w:szCs w:val="19"/>
                <w:color w:val="auto"/>
              </w:rPr>
            </w:pPr>
          </w:p>
        </w:tc>
        <w:tc>
          <w:tcPr>
            <w:tcW w:w="1580" w:type="dxa"/>
            <w:vAlign w:val="bottom"/>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January 31, 2026</w:t>
            </w:r>
          </w:p>
        </w:tc>
      </w:tr>
      <w:tr>
        <w:trPr>
          <w:trHeight w:val="214"/>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credit losses - accounts receivable</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w:t>
            </w:r>
          </w:p>
        </w:tc>
      </w:tr>
      <w:tr>
        <w:trPr>
          <w:trHeight w:val="226"/>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credit losses - contract assets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r>
    </w:tbl>
    <w:p>
      <w:pPr>
        <w:spacing w:after="0" w:line="2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the three months ended April 30, 2026 and 2025, the provision for credit losses was $1.0 million and $3.6 million, respectively.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Fair Value Measurements</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Assets and Liabilities Measured at Fair Value on a Recurring Basis</w:t>
      </w:r>
    </w:p>
    <w:p>
      <w:pPr>
        <w:spacing w:after="0" w:line="120"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Assets and liabilities recorded at fair value in the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spacing w:after="0" w:line="162" w:lineRule="exact"/>
        <w:rPr>
          <w:sz w:val="20"/>
          <w:szCs w:val="20"/>
          <w:color w:val="auto"/>
        </w:rPr>
      </w:pPr>
    </w:p>
    <w:p>
      <w:pPr>
        <w:ind w:left="620" w:hanging="304"/>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Observable inputs that reflect quoted prices (unadjusted) for identical assets or liabilities in active markets.</w:t>
      </w:r>
    </w:p>
    <w:p>
      <w:pPr>
        <w:spacing w:after="0" w:line="220" w:lineRule="exact"/>
        <w:rPr>
          <w:rFonts w:ascii="Times New Roman" w:cs="Times New Roman" w:eastAsia="Times New Roman" w:hAnsi="Times New Roman"/>
          <w:sz w:val="17"/>
          <w:szCs w:val="17"/>
          <w:color w:val="auto"/>
        </w:rPr>
      </w:pPr>
    </w:p>
    <w:p>
      <w:pPr>
        <w:ind w:left="620" w:hanging="304"/>
        <w:spacing w:after="0" w:line="293"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6" w:lineRule="exact"/>
        <w:rPr>
          <w:rFonts w:ascii="Times New Roman" w:cs="Times New Roman" w:eastAsia="Times New Roman" w:hAnsi="Times New Roman"/>
          <w:sz w:val="17"/>
          <w:szCs w:val="17"/>
          <w:color w:val="auto"/>
        </w:rPr>
      </w:pPr>
    </w:p>
    <w:p>
      <w:pPr>
        <w:ind w:left="620" w:hanging="304"/>
        <w:spacing w:after="0" w:line="293"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reflecting the Company’s own assumptions incorporated in valuation techniques used to determine fair value. These assumptions are required to be consistent with market participant assumptions that are reasonably available.</w:t>
      </w:r>
    </w:p>
    <w:p>
      <w:pPr>
        <w:spacing w:after="0" w:line="42"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tables present information about the Company’s financial assets that are measured at fair value on a recurring basis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April 30, 2026</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6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6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1"/>
        </w:trPr>
        <w:tc>
          <w:tcPr>
            <w:tcW w:w="5640" w:type="dxa"/>
            <w:vAlign w:val="bottom"/>
            <w:vMerge w:val="continue"/>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Money market funds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242,858</w:t>
            </w:r>
          </w:p>
        </w:tc>
        <w:tc>
          <w:tcPr>
            <w:tcW w:w="80" w:type="dxa"/>
            <w:vAlign w:val="bottom"/>
          </w:tcPr>
          <w:p>
            <w:pPr>
              <w:spacing w:after="0"/>
              <w:rPr>
                <w:sz w:val="19"/>
                <w:szCs w:val="19"/>
                <w:color w:val="auto"/>
              </w:rPr>
            </w:pP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242,858</w:t>
            </w:r>
          </w:p>
        </w:tc>
        <w:tc>
          <w:tcPr>
            <w:tcW w:w="0" w:type="dxa"/>
            <w:vAlign w:val="bottom"/>
          </w:tcPr>
          <w:p>
            <w:pPr>
              <w:spacing w:after="0"/>
              <w:rPr>
                <w:sz w:val="1"/>
                <w:szCs w:val="1"/>
                <w:color w:val="auto"/>
              </w:rPr>
            </w:pPr>
          </w:p>
        </w:tc>
      </w:tr>
      <w:tr>
        <w:trPr>
          <w:trHeight w:val="239"/>
        </w:trPr>
        <w:tc>
          <w:tcPr>
            <w:tcW w:w="564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242,858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242,858</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January 31, 2026</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6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6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1"/>
        </w:trPr>
        <w:tc>
          <w:tcPr>
            <w:tcW w:w="5640" w:type="dxa"/>
            <w:vAlign w:val="bottom"/>
            <w:vMerge w:val="continue"/>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Money market funds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308,535</w:t>
            </w:r>
          </w:p>
        </w:tc>
        <w:tc>
          <w:tcPr>
            <w:tcW w:w="80" w:type="dxa"/>
            <w:vAlign w:val="bottom"/>
          </w:tcPr>
          <w:p>
            <w:pPr>
              <w:spacing w:after="0"/>
              <w:rPr>
                <w:sz w:val="19"/>
                <w:szCs w:val="19"/>
                <w:color w:val="auto"/>
              </w:rPr>
            </w:pP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308,535</w:t>
            </w:r>
          </w:p>
        </w:tc>
        <w:tc>
          <w:tcPr>
            <w:tcW w:w="0" w:type="dxa"/>
            <w:vAlign w:val="bottom"/>
          </w:tcPr>
          <w:p>
            <w:pPr>
              <w:spacing w:after="0"/>
              <w:rPr>
                <w:sz w:val="1"/>
                <w:szCs w:val="1"/>
                <w:color w:val="auto"/>
              </w:rPr>
            </w:pPr>
          </w:p>
        </w:tc>
      </w:tr>
      <w:tr>
        <w:trPr>
          <w:trHeight w:val="239"/>
        </w:trPr>
        <w:tc>
          <w:tcPr>
            <w:tcW w:w="56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308,535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308,535</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17"/>
          <w:szCs w:val="17"/>
          <w:color w:val="auto"/>
        </w:rPr>
        <w:t>The Company’s carrying amounts of financial instruments, including cash, accounts receivable, accounts payable, and accrued expenses are considered Level 1 and approximate their fair values due to their short maturities as of April 30, 2026 and January 31, 2026 and are excluded from the fair value tables above.</w:t>
      </w:r>
    </w:p>
    <w:p>
      <w:pPr>
        <w:spacing w:after="0" w:line="3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were no transfers between fair value measurement levels during the period ended April 30, 2026 and January 31, 2026.</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Acquisitions</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Asset Acquisitions</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Security Savvy Ltd</w:t>
      </w:r>
    </w:p>
    <w:p>
      <w:pPr>
        <w:spacing w:after="0" w:line="170"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On September 15, 2025, the Company acquired certain assets of Security Savvy Ltd, a third-party software as a service ("SaaS") security platform that helps organizations manage identity-related risks associated with their SaaS applications, for $18.4 million, which includes $0.5 million in direct transaction costs that were capitalized as a component of the consideration transferred. The transaction was accounted for as an asset acquisition and substantially all of the acquired assets consisted of developed technology. The purchase price includes a holdback amount of $1.8 million to be paid 12 months from the date of closing subject to the resolution of certain indemnities. The purchase price also includes a contingent consideration of $0.2 million, which the Company was required to pay if it were to obtain the assignment of a specific customer contract by December 31, 2025.</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On October 31, 2025, the Company obtained the assignment of the remaining customer contract and satisfied the contingency. During November 2025, the Company fully settled the $0.2 million liability described above. The purchase price consideration was allocated to a developed technology intangible asset of $18.2 million based on the replacement cost method and assembled workforce intangible of $0.5 million, with useful lives of 6 years and 3 years, respectively. Approximately $0.3 million was allocated to deferred revenue, current and $0.1 million to accounts receivable.</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Imprivata</w:t>
      </w:r>
    </w:p>
    <w:p>
      <w:pPr>
        <w:spacing w:after="0" w:line="235" w:lineRule="exact"/>
        <w:rPr>
          <w:sz w:val="20"/>
          <w:szCs w:val="20"/>
          <w:color w:val="auto"/>
        </w:rPr>
      </w:pPr>
    </w:p>
    <w:p>
      <w:pPr>
        <w:jc w:val="both"/>
        <w:ind w:firstLine="733"/>
        <w:spacing w:after="0" w:line="248" w:lineRule="auto"/>
        <w:rPr>
          <w:sz w:val="20"/>
          <w:szCs w:val="20"/>
          <w:color w:val="auto"/>
        </w:rPr>
      </w:pPr>
      <w:r>
        <w:rPr>
          <w:rFonts w:ascii="Times New Roman" w:cs="Times New Roman" w:eastAsia="Times New Roman" w:hAnsi="Times New Roman"/>
          <w:sz w:val="17"/>
          <w:szCs w:val="17"/>
          <w:color w:val="auto"/>
        </w:rPr>
        <w:t xml:space="preserve">On December 13, 2024, the Company acquired the Identity Governance and Administration business of Imprivata, a digital identity company for life-and mission-critical industries that is majority owned by Thoma Bravo, for a cash payment at closing of $10.7 million and up to an additional cash amount of $7.4 million related to contingent consideration subject to </w:t>
      </w:r>
      <w:r>
        <w:rPr>
          <w:rFonts w:ascii="Times New Roman" w:cs="Times New Roman" w:eastAsia="Times New Roman" w:hAnsi="Times New Roman"/>
          <w:sz w:val="17"/>
          <w:szCs w:val="17"/>
          <w:color w:val="231F20"/>
        </w:rPr>
        <w:t>the achievement of certain customer contract assignments or migrations.</w:t>
      </w:r>
      <w:r>
        <w:rPr>
          <w:rFonts w:ascii="Times New Roman" w:cs="Times New Roman" w:eastAsia="Times New Roman" w:hAnsi="Times New Roman"/>
          <w:sz w:val="17"/>
          <w:szCs w:val="17"/>
          <w:color w:val="auto"/>
        </w:rPr>
        <w:t xml:space="preserve"> The contingent consideration was initially recorded in the condensed consolidated balance sheets in accrued expenses and other liabilities at a fair value of $5.7 million. The revised fair value of the contingent consideration of $7.3 million was settled in August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6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purchase price allocation as of the date of acquisition (in thousands):</w:t>
            </w:r>
          </w:p>
        </w:tc>
        <w:tc>
          <w:tcPr>
            <w:tcW w:w="1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4"/>
        </w:trPr>
        <w:tc>
          <w:tcPr>
            <w:tcW w:w="8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21"/>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110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1,572</w:t>
            </w:r>
          </w:p>
        </w:tc>
      </w:tr>
      <w:tr>
        <w:trPr>
          <w:trHeight w:val="221"/>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9,247</w:t>
            </w:r>
          </w:p>
        </w:tc>
      </w:tr>
      <w:tr>
        <w:trPr>
          <w:trHeight w:val="221"/>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1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9,800</w:t>
            </w:r>
          </w:p>
        </w:tc>
      </w:tr>
      <w:tr>
        <w:trPr>
          <w:trHeight w:val="221"/>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1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(4,236)</w:t>
            </w:r>
          </w:p>
        </w:tc>
      </w:tr>
      <w:tr>
        <w:trPr>
          <w:trHeight w:val="239"/>
        </w:trPr>
        <w:tc>
          <w:tcPr>
            <w:tcW w:w="8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fair value of assets acquired and liabilities assumed</w:t>
            </w:r>
          </w:p>
        </w:tc>
        <w:tc>
          <w:tcPr>
            <w:tcW w:w="110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16,383</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ind w:firstLine="624"/>
        <w:spacing w:after="0" w:line="285" w:lineRule="auto"/>
        <w:rPr>
          <w:sz w:val="20"/>
          <w:szCs w:val="20"/>
          <w:color w:val="auto"/>
        </w:rPr>
      </w:pPr>
      <w:r>
        <w:rPr>
          <w:rFonts w:ascii="Times New Roman" w:cs="Times New Roman" w:eastAsia="Times New Roman" w:hAnsi="Times New Roman"/>
          <w:sz w:val="17"/>
          <w:szCs w:val="17"/>
          <w:color w:val="auto"/>
        </w:rPr>
        <w:t>The fair value estimates and assumptions regarding certain tangible assets acquired and liabilities assumed and the valuation of intangible assets acquired are subject to change as additional information is obtained during the measurement period. The goodwill arising from the acquisition is deductible for tax purposes.</w:t>
      </w:r>
    </w:p>
    <w:p>
      <w:pPr>
        <w:spacing w:after="0" w:line="380" w:lineRule="exact"/>
        <w:rPr>
          <w:sz w:val="20"/>
          <w:szCs w:val="20"/>
          <w:color w:val="auto"/>
        </w:rPr>
      </w:pPr>
    </w:p>
    <w:p>
      <w:pPr>
        <w:jc w:val="both"/>
        <w:ind w:firstLine="624"/>
        <w:spacing w:after="0" w:line="277" w:lineRule="auto"/>
        <w:rPr>
          <w:sz w:val="20"/>
          <w:szCs w:val="20"/>
          <w:color w:val="auto"/>
        </w:rPr>
      </w:pPr>
      <w:r>
        <w:rPr>
          <w:rFonts w:ascii="Times New Roman" w:cs="Times New Roman" w:eastAsia="Times New Roman" w:hAnsi="Times New Roman"/>
          <w:sz w:val="17"/>
          <w:szCs w:val="17"/>
          <w:color w:val="auto"/>
        </w:rPr>
        <w:t>The fair value of the developed technology was estimated using a market approach. The fair value of customer relationships was estimated using the excess earnings method. The following table presents the fair values and useful lives of the identifiable intangible assets acquired: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19"/>
                <w:szCs w:val="19"/>
                <w:color w:val="auto"/>
              </w:rPr>
            </w:pPr>
          </w:p>
        </w:tc>
        <w:tc>
          <w:tcPr>
            <w:tcW w:w="188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Estimated Useful Life</w:t>
            </w:r>
          </w:p>
        </w:tc>
      </w:tr>
      <w:tr>
        <w:trPr>
          <w:trHeight w:val="26"/>
        </w:trPr>
        <w:tc>
          <w:tcPr>
            <w:tcW w:w="7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7"/>
        </w:trPr>
        <w:tc>
          <w:tcPr>
            <w:tcW w:w="7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00" w:type="dxa"/>
            <w:vAlign w:val="bottom"/>
          </w:tcPr>
          <w:p>
            <w:pPr>
              <w:spacing w:after="0"/>
              <w:rPr>
                <w:sz w:val="19"/>
                <w:szCs w:val="19"/>
                <w:color w:val="auto"/>
              </w:rPr>
            </w:pPr>
          </w:p>
        </w:tc>
        <w:tc>
          <w:tcPr>
            <w:tcW w:w="188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(In years)</w:t>
            </w:r>
          </w:p>
        </w:tc>
      </w:tr>
      <w:tr>
        <w:trPr>
          <w:trHeight w:val="26"/>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6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6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2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8,200</w:t>
            </w:r>
          </w:p>
        </w:tc>
        <w:tc>
          <w:tcPr>
            <w:tcW w:w="1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39"/>
        </w:trPr>
        <w:tc>
          <w:tcPr>
            <w:tcW w:w="7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identifiable intangible assets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9,800</w:t>
            </w: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r>
    </w:tbl>
    <w:p>
      <w:pPr>
        <w:spacing w:after="0" w:line="2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Double Zero</w:t>
      </w:r>
    </w:p>
    <w:p>
      <w:pPr>
        <w:spacing w:after="0" w:line="235" w:lineRule="exact"/>
        <w:rPr>
          <w:sz w:val="20"/>
          <w:szCs w:val="20"/>
          <w:color w:val="auto"/>
        </w:rPr>
      </w:pPr>
    </w:p>
    <w:p>
      <w:pPr>
        <w:jc w:val="both"/>
        <w:ind w:firstLine="733"/>
        <w:spacing w:after="0" w:line="244" w:lineRule="auto"/>
        <w:rPr>
          <w:sz w:val="20"/>
          <w:szCs w:val="20"/>
          <w:color w:val="auto"/>
        </w:rPr>
      </w:pPr>
      <w:r>
        <w:rPr>
          <w:rFonts w:ascii="Times New Roman" w:cs="Times New Roman" w:eastAsia="Times New Roman" w:hAnsi="Times New Roman"/>
          <w:sz w:val="17"/>
          <w:szCs w:val="17"/>
          <w:color w:val="auto"/>
        </w:rPr>
        <w:t>On April 9, 2024 (“Acquisition Date”), the Company acquired all of the outstanding stock of Double Zero Security, Inc. (“Double Zero”), a third-party provider of digital-identity threat detection and response for secure enterprise access. The aggregate consideration transferred in connection with this acquisition was $5.4 million, net of cash acquired, and $0.8 million was held back from the amount paid on the Acquisition Date for certain indemnities (the "Holdback Consideration"). The Company paid $0.1 million of the Holdback Consideration 60 days after the Acquisition Date and the remaining Holdback Consideration of $0.7 million was paid in April 2025.</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6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purchase price allocation as of the date of acquisition (in thousands):</w:t>
            </w:r>
          </w:p>
        </w:tc>
        <w:tc>
          <w:tcPr>
            <w:tcW w:w="11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4"/>
        </w:trPr>
        <w:tc>
          <w:tcPr>
            <w:tcW w:w="8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21"/>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1"/>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1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21"/>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Prepayments and other current assets</w:t>
            </w:r>
          </w:p>
        </w:tc>
        <w:tc>
          <w:tcPr>
            <w:tcW w:w="1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1"/>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 non-current</w:t>
            </w:r>
          </w:p>
        </w:tc>
        <w:tc>
          <w:tcPr>
            <w:tcW w:w="1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860</w:t>
            </w:r>
          </w:p>
        </w:tc>
      </w:tr>
      <w:tr>
        <w:trPr>
          <w:trHeight w:val="221"/>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3,566</w:t>
            </w:r>
          </w:p>
        </w:tc>
      </w:tr>
      <w:tr>
        <w:trPr>
          <w:trHeight w:val="221"/>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1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w:t>
            </w:r>
          </w:p>
        </w:tc>
      </w:tr>
      <w:tr>
        <w:trPr>
          <w:trHeight w:val="221"/>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1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21"/>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1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21"/>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1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r>
      <w:tr>
        <w:trPr>
          <w:trHeight w:val="214"/>
        </w:trPr>
        <w:tc>
          <w:tcPr>
            <w:tcW w:w="8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fair value of assets acquired and liabilities assumed</w:t>
            </w:r>
          </w:p>
        </w:tc>
        <w:tc>
          <w:tcPr>
            <w:tcW w:w="114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5,378</w:t>
            </w:r>
          </w:p>
        </w:tc>
      </w:tr>
      <w:tr>
        <w:trPr>
          <w:trHeight w:val="20"/>
        </w:trPr>
        <w:tc>
          <w:tcPr>
            <w:tcW w:w="86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The fair value of the developed technology was estimated using a market approach. The following table presents the estimated fair values and useful lives of the identifiable intangible assets acquired: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Estimated Useful Life</w:t>
            </w:r>
          </w:p>
        </w:tc>
      </w:tr>
      <w:tr>
        <w:trPr>
          <w:trHeight w:val="26"/>
        </w:trPr>
        <w:tc>
          <w:tcPr>
            <w:tcW w:w="7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7"/>
        </w:trPr>
        <w:tc>
          <w:tcPr>
            <w:tcW w:w="7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(In years)</w:t>
            </w:r>
          </w:p>
        </w:tc>
      </w:tr>
      <w:tr>
        <w:trPr>
          <w:trHeight w:val="26"/>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6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1,360</w:t>
            </w: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bl>
    <w:p>
      <w:pPr>
        <w:spacing w:after="0" w:line="2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Additional Business Combination Related Information</w:t>
      </w:r>
    </w:p>
    <w:p>
      <w:pPr>
        <w:spacing w:after="0" w:line="120"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The operating results of the acquired companies are included in the Company’s condensed consolidated statements of operations from the respective dates of acquisition. Pro forma results of operations have not been presented because the effects of these acquisitions, individually and in the aggregate, were not material to the Company’s condensed consolidated statements of operations.</w:t>
      </w:r>
    </w:p>
    <w:p>
      <w:pPr>
        <w:spacing w:after="0" w:line="16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The Company believes that for each business combination, the acquired companies will provide opportunities for growth through investing in additional products and capabilities, among other factors. This contributed to a purchase price in excess of the estimated fair value of each acquired company’s net identifiable assets acquired and, as a result, goodwill was recorded in connection with each acquisition. Unless otherwise noted above, goodwill arising from these acquisitions is not deductible for tax purposes.</w:t>
      </w:r>
    </w:p>
    <w:p>
      <w:pPr>
        <w:spacing w:after="0" w:line="272" w:lineRule="exact"/>
        <w:rPr>
          <w:sz w:val="20"/>
          <w:szCs w:val="20"/>
          <w:color w:val="auto"/>
        </w:rPr>
      </w:pPr>
    </w:p>
    <w:p>
      <w:pPr>
        <w:ind w:left="620" w:right="8000" w:hanging="616"/>
        <w:spacing w:after="0" w:line="423" w:lineRule="auto"/>
        <w:tabs>
          <w:tab w:leader="none" w:pos="17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Contractual Purchase Commitments</w:t>
      </w:r>
    </w:p>
    <w:p>
      <w:pPr>
        <w:spacing w:after="0" w:line="67"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The Company has contractual commitments associated with agreements that are enforceable and legally binding. These contractual commitments do not include obligations under contracts that the Company can cancel without significant penalty or purchase orders as the purchase orders represent authorizations to purchase rather than binding agreements. On February 1, 2026, the Company entered into a new amendment with its cloud storage provider, terminating the previous arrangement. The new agreement, effective February 1, 2026 through January 31, 2031, requires the Company to commit to minimum annual purchases of $107.0 million, $127.0 million, $147.0 million, $162.0 million, and $178.0 million in contract years one through five, respectively, for a total commitment of $721.0 million. If the Company does not meet the minimum purchase obligation during any contract year, it will be required to pay the difference. There have been no further amendments or material developments related to this agreement since its execution. There were no other material changes outside the ordinary course of business to the Company’s non-cancelable contractual commitments disclosed in the Company’s unaudited condensed consolidated financial statements for the three months ended April 30, 2026 as previously disclosed in our fiscal 2026 Form 10-K.</w:t>
      </w:r>
    </w:p>
    <w:p>
      <w:pPr>
        <w:spacing w:after="0" w:line="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Indemnification Arrangements</w:t>
      </w:r>
    </w:p>
    <w:p>
      <w:pPr>
        <w:spacing w:after="0" w:line="17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In the ordinary course of business, the Company enters into contractual arrangements under which it agrees to provide indemnification of varying scope and terms to customers, business partners, and other parties with respect to certain matters, including losses arising out of the breach of such agreements, intellectual property infringement claims made by third parties,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and other liabilities with respect to the Company’s products, services, and business. In these circumstances, payment may be conditional on the other party making a claim pursuant to the procedures specified in a particular contract. The Company includes service level commitments to the Company’s cloud customers warranting certain levels of uptime reliability and performance and permitting those customers to receive credits in the event that the Company fails to meet those levels.</w:t>
      </w:r>
    </w:p>
    <w:p>
      <w:pPr>
        <w:spacing w:after="0" w:line="325"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To date, the Company has not incurred any material costs as a result of these commitments, and the Company expects the time between any potential claims and issuance of the credits to be short. As a result, the Company has not accrued any liabilities related to these commitments in the accompanying condensed consolidated financial statements.</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Litigation Claims and Assessments</w:t>
      </w:r>
    </w:p>
    <w:p>
      <w:pPr>
        <w:spacing w:after="0" w:line="172"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The Company is subject to claims and suits that may arise from time to time in the ordinary course of business. In addition, some legal actions, claims and governmental inquiries may be instituted or asserted in the future against the Company and its subsidiaries. Although the outcome of these legal proceedings cannot be predicted with certainty and no assurances can be provided, based upon current information, the Company does not believe the liabilities, if any, which may ultimately result from the outcome of such matters, individually or in the aggregate, will have a material adverse impact on these condensed consolidated financial statements.</w:t>
      </w:r>
    </w:p>
    <w:p>
      <w:pPr>
        <w:spacing w:after="0" w:line="274" w:lineRule="exact"/>
        <w:rPr>
          <w:sz w:val="20"/>
          <w:szCs w:val="20"/>
          <w:color w:val="auto"/>
        </w:rPr>
      </w:pPr>
    </w:p>
    <w:p>
      <w:pPr>
        <w:jc w:val="right"/>
        <w:ind w:left="620" w:right="8960" w:hanging="616"/>
        <w:spacing w:after="0" w:line="447" w:lineRule="auto"/>
        <w:tabs>
          <w:tab w:leader="none" w:pos="17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Credit Agreement and Debt </w:t>
      </w:r>
      <w:r>
        <w:rPr>
          <w:rFonts w:ascii="Times New Roman" w:cs="Times New Roman" w:eastAsia="Times New Roman" w:hAnsi="Times New Roman"/>
          <w:sz w:val="17"/>
          <w:szCs w:val="17"/>
          <w:b w:val="1"/>
          <w:bCs w:val="1"/>
          <w:i w:val="1"/>
          <w:iCs w:val="1"/>
          <w:color w:val="231F20"/>
        </w:rPr>
        <w:t>2025 Credit Agreement</w:t>
      </w:r>
    </w:p>
    <w:p>
      <w:pPr>
        <w:spacing w:after="0" w:line="2" w:lineRule="exact"/>
        <w:rPr>
          <w:sz w:val="20"/>
          <w:szCs w:val="20"/>
          <w:color w:val="auto"/>
        </w:rPr>
      </w:pPr>
    </w:p>
    <w:p>
      <w:pPr>
        <w:jc w:val="both"/>
        <w:ind w:firstLine="624"/>
        <w:spacing w:after="0" w:line="260" w:lineRule="auto"/>
        <w:rPr>
          <w:sz w:val="20"/>
          <w:szCs w:val="20"/>
          <w:color w:val="auto"/>
        </w:rPr>
      </w:pPr>
      <w:r>
        <w:rPr>
          <w:rFonts w:ascii="Times New Roman" w:cs="Times New Roman" w:eastAsia="Times New Roman" w:hAnsi="Times New Roman"/>
          <w:sz w:val="17"/>
          <w:szCs w:val="17"/>
          <w:color w:val="231F20"/>
        </w:rPr>
        <w:t xml:space="preserve">On June 25, 2025, the Company entered into a credit agreement (the "2025 Credit Agreement") that provides for a </w:t>
      </w:r>
      <w:r>
        <w:rPr>
          <w:rFonts w:ascii="Times New Roman" w:cs="Times New Roman" w:eastAsia="Times New Roman" w:hAnsi="Times New Roman"/>
          <w:sz w:val="17"/>
          <w:szCs w:val="17"/>
          <w:color w:val="000000"/>
        </w:rPr>
        <w:t>five</w:t>
      </w:r>
      <w:r>
        <w:rPr>
          <w:rFonts w:ascii="Times New Roman" w:cs="Times New Roman" w:eastAsia="Times New Roman" w:hAnsi="Times New Roman"/>
          <w:sz w:val="17"/>
          <w:szCs w:val="17"/>
          <w:color w:val="231F20"/>
        </w:rPr>
        <w:t xml:space="preserve">-year $250.0 million secured revolving credit facility, including a letter of credit sub-facility of up to $10.0 million (the "2025 Revolving Credit Facility"). The 2025 Revolving Credit Facility matures on June 25, 2030. The Company incurred deferred financing costs of $2.7 million related to the entry into the 2025 Credit Agreement, which are included in other non-current assets on the accompanying condensed consolidated balance sheets. These costs are being amortized to interest expense over the life of the 2025 Credit Agreement on a straight-line basis. Amortization of deferred financing costs related to the 2025 Credit Agreement was </w:t>
      </w:r>
      <w:r>
        <w:rPr>
          <w:rFonts w:ascii="Times New Roman" w:cs="Times New Roman" w:eastAsia="Times New Roman" w:hAnsi="Times New Roman"/>
          <w:sz w:val="17"/>
          <w:szCs w:val="17"/>
          <w:color w:val="000000"/>
        </w:rPr>
        <w:t>$0.1 million</w:t>
      </w:r>
      <w:r>
        <w:rPr>
          <w:rFonts w:ascii="Times New Roman" w:cs="Times New Roman" w:eastAsia="Times New Roman" w:hAnsi="Times New Roman"/>
          <w:sz w:val="17"/>
          <w:szCs w:val="17"/>
          <w:color w:val="231F20"/>
        </w:rPr>
        <w:t xml:space="preserve"> for the </w:t>
      </w:r>
      <w:r>
        <w:rPr>
          <w:rFonts w:ascii="Times New Roman" w:cs="Times New Roman" w:eastAsia="Times New Roman" w:hAnsi="Times New Roman"/>
          <w:sz w:val="17"/>
          <w:szCs w:val="17"/>
          <w:color w:val="000000"/>
        </w:rPr>
        <w:t xml:space="preserve">three months ended </w:t>
      </w:r>
      <w:r>
        <w:rPr>
          <w:rFonts w:ascii="Times New Roman" w:cs="Times New Roman" w:eastAsia="Times New Roman" w:hAnsi="Times New Roman"/>
          <w:sz w:val="17"/>
          <w:szCs w:val="17"/>
          <w:color w:val="231F20"/>
        </w:rPr>
        <w:t>April 30, 2026. The Company is subject to customary letter of credit fees, including a fronting fee equal to</w:t>
      </w:r>
      <w:r>
        <w:rPr>
          <w:rFonts w:ascii="Times New Roman" w:cs="Times New Roman" w:eastAsia="Times New Roman" w:hAnsi="Times New Roman"/>
          <w:sz w:val="17"/>
          <w:szCs w:val="17"/>
          <w:color w:val="000000"/>
        </w:rPr>
        <w:t xml:space="preserve"> 0.125% </w:t>
      </w:r>
      <w:r>
        <w:rPr>
          <w:rFonts w:ascii="Times New Roman" w:cs="Times New Roman" w:eastAsia="Times New Roman" w:hAnsi="Times New Roman"/>
          <w:sz w:val="17"/>
          <w:szCs w:val="17"/>
          <w:color w:val="231F20"/>
        </w:rPr>
        <w:t>per annum of the daily</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31F20"/>
        </w:rPr>
        <w:t xml:space="preserve">maximum amount then available to be drawn under such letters of credit, as well as customary issuance and administration fees. These fees were </w:t>
      </w:r>
      <w:r>
        <w:rPr>
          <w:rFonts w:ascii="Times New Roman" w:cs="Times New Roman" w:eastAsia="Times New Roman" w:hAnsi="Times New Roman"/>
          <w:sz w:val="17"/>
          <w:szCs w:val="17"/>
          <w:color w:val="000000"/>
        </w:rPr>
        <w:t>$0.1 million</w:t>
      </w:r>
      <w:r>
        <w:rPr>
          <w:rFonts w:ascii="Times New Roman" w:cs="Times New Roman" w:eastAsia="Times New Roman" w:hAnsi="Times New Roman"/>
          <w:sz w:val="17"/>
          <w:szCs w:val="17"/>
          <w:color w:val="231F20"/>
        </w:rPr>
        <w:t xml:space="preserve"> for the </w:t>
      </w:r>
      <w:r>
        <w:rPr>
          <w:rFonts w:ascii="Times New Roman" w:cs="Times New Roman" w:eastAsia="Times New Roman" w:hAnsi="Times New Roman"/>
          <w:sz w:val="17"/>
          <w:szCs w:val="17"/>
          <w:color w:val="000000"/>
        </w:rPr>
        <w:t>three months ended</w:t>
      </w:r>
      <w:r>
        <w:rPr>
          <w:rFonts w:ascii="Times New Roman" w:cs="Times New Roman" w:eastAsia="Times New Roman" w:hAnsi="Times New Roman"/>
          <w:sz w:val="17"/>
          <w:szCs w:val="17"/>
          <w:color w:val="231F20"/>
        </w:rPr>
        <w:t xml:space="preserve"> April 30, 2026 and are recorded as interest expense on the condensed consolidated statements of operations.</w:t>
      </w:r>
    </w:p>
    <w:p>
      <w:pPr>
        <w:spacing w:after="0" w:line="125"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231F20"/>
        </w:rPr>
        <w:t xml:space="preserve">The Company is subject to quarterly financial covenants relating to maintaining a Total Net Leverage Ratio (as defined in the 2025 Credit Agreement) of generally not more than </w:t>
      </w:r>
      <w:r>
        <w:rPr>
          <w:rFonts w:ascii="Times New Roman" w:cs="Times New Roman" w:eastAsia="Times New Roman" w:hAnsi="Times New Roman"/>
          <w:sz w:val="17"/>
          <w:szCs w:val="17"/>
          <w:color w:val="000000"/>
        </w:rPr>
        <w:t>4.00</w:t>
      </w:r>
      <w:r>
        <w:rPr>
          <w:rFonts w:ascii="Times New Roman" w:cs="Times New Roman" w:eastAsia="Times New Roman" w:hAnsi="Times New Roman"/>
          <w:sz w:val="17"/>
          <w:szCs w:val="17"/>
          <w:color w:val="231F20"/>
        </w:rPr>
        <w:t xml:space="preserve"> to </w:t>
      </w:r>
      <w:r>
        <w:rPr>
          <w:rFonts w:ascii="Times New Roman" w:cs="Times New Roman" w:eastAsia="Times New Roman" w:hAnsi="Times New Roman"/>
          <w:sz w:val="17"/>
          <w:szCs w:val="17"/>
          <w:color w:val="000000"/>
        </w:rPr>
        <w:t>1.00</w:t>
      </w:r>
      <w:r>
        <w:rPr>
          <w:rFonts w:ascii="Times New Roman" w:cs="Times New Roman" w:eastAsia="Times New Roman" w:hAnsi="Times New Roman"/>
          <w:sz w:val="17"/>
          <w:szCs w:val="17"/>
          <w:color w:val="231F20"/>
        </w:rPr>
        <w:t xml:space="preserve"> (which may be increased to </w:t>
      </w:r>
      <w:r>
        <w:rPr>
          <w:rFonts w:ascii="Times New Roman" w:cs="Times New Roman" w:eastAsia="Times New Roman" w:hAnsi="Times New Roman"/>
          <w:sz w:val="17"/>
          <w:szCs w:val="17"/>
          <w:color w:val="000000"/>
        </w:rPr>
        <w:t>4.50</w:t>
      </w:r>
      <w:r>
        <w:rPr>
          <w:rFonts w:ascii="Times New Roman" w:cs="Times New Roman" w:eastAsia="Times New Roman" w:hAnsi="Times New Roman"/>
          <w:sz w:val="17"/>
          <w:szCs w:val="17"/>
          <w:color w:val="231F20"/>
        </w:rPr>
        <w:t xml:space="preserve"> to </w:t>
      </w:r>
      <w:r>
        <w:rPr>
          <w:rFonts w:ascii="Times New Roman" w:cs="Times New Roman" w:eastAsia="Times New Roman" w:hAnsi="Times New Roman"/>
          <w:sz w:val="17"/>
          <w:szCs w:val="17"/>
          <w:color w:val="000000"/>
        </w:rPr>
        <w:t>1.00</w:t>
      </w:r>
      <w:r>
        <w:rPr>
          <w:rFonts w:ascii="Times New Roman" w:cs="Times New Roman" w:eastAsia="Times New Roman" w:hAnsi="Times New Roman"/>
          <w:sz w:val="17"/>
          <w:szCs w:val="17"/>
          <w:color w:val="231F20"/>
        </w:rPr>
        <w:t xml:space="preserve"> for a limited period in the event a material acquisition is consummated). The Company was in compliance with all applicable covenants as of April 30, 2026.</w:t>
      </w:r>
    </w:p>
    <w:p>
      <w:pPr>
        <w:spacing w:after="0" w:line="110"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231F20"/>
        </w:rPr>
        <w:t>All obligations under the 2025 Revolving Credit Facility are unconditionally guaranteed by the Company and each Restricted Subsidiary other than any Excluded Subsidiary (each, as defined in the 2025 Credit Agreement) and are supported by a security interest in substantially all of the borrowers' and guarantors' tangible and intangible assets (subject to permitted liens).</w:t>
      </w:r>
    </w:p>
    <w:p>
      <w:pPr>
        <w:spacing w:after="0" w:line="110"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231F20"/>
        </w:rPr>
        <w:t>The Company may voluntarily repay and reborrow outstanding loans under the 2025 Revolving Credit Facility at any time without a premium or a penalty. The Company had no outstanding 2025 Revolving Credit Facility balance as of April 30, 2026.</w:t>
      </w:r>
    </w:p>
    <w:p>
      <w:pPr>
        <w:spacing w:after="0" w:line="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231F20"/>
        </w:rPr>
        <w:t>2022 Credit Agreement</w:t>
      </w:r>
    </w:p>
    <w:p>
      <w:pPr>
        <w:spacing w:after="0" w:line="172"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231F20"/>
        </w:rPr>
        <w:t xml:space="preserve">On August 16, 2022, the Company entered into a Credit Agreement (the "2022 Credit Agreement") that provided for (i) a six-year $125.0 million senior secured revolving credit facility, including a letter of credit sub-facility of up to $5.0 million (the “2022 Revolving Credit Facility”) and (ii) a seven-year $1.59 billion term loan facility (the “Term Loans”). After the closing of the IPO, the Company fully repaid its Term Loans and recorded an extinguishment of debt related to the remaining balance of its deferred financing costs of $15.3 million during the </w:t>
      </w:r>
      <w:r>
        <w:rPr>
          <w:rFonts w:ascii="Times New Roman" w:cs="Times New Roman" w:eastAsia="Times New Roman" w:hAnsi="Times New Roman"/>
          <w:sz w:val="17"/>
          <w:szCs w:val="17"/>
          <w:color w:val="000000"/>
        </w:rPr>
        <w:t>three months ended April 30, 2025</w:t>
      </w:r>
      <w:r>
        <w:rPr>
          <w:rFonts w:ascii="Times New Roman" w:cs="Times New Roman" w:eastAsia="Times New Roman" w:hAnsi="Times New Roman"/>
          <w:sz w:val="17"/>
          <w:szCs w:val="17"/>
          <w:color w:val="231F20"/>
        </w:rPr>
        <w:t xml:space="preserve">, which </w:t>
      </w:r>
      <w:r>
        <w:rPr>
          <w:rFonts w:ascii="Times New Roman" w:cs="Times New Roman" w:eastAsia="Times New Roman" w:hAnsi="Times New Roman"/>
          <w:sz w:val="17"/>
          <w:szCs w:val="17"/>
          <w:color w:val="000000"/>
        </w:rPr>
        <w:t>is recorded within interest</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expense on the condensed consolidated statement of operations.</w:t>
      </w:r>
    </w:p>
    <w:p>
      <w:pPr>
        <w:spacing w:after="0" w:line="120"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 xml:space="preserve">On June 25, 2025, the 2022 Credit Agreement was terminated upon the Company's entry into the 2025 Credit Agreement. </w:t>
      </w:r>
      <w:r>
        <w:rPr>
          <w:rFonts w:ascii="Times New Roman" w:cs="Times New Roman" w:eastAsia="Times New Roman" w:hAnsi="Times New Roman"/>
          <w:sz w:val="17"/>
          <w:szCs w:val="17"/>
          <w:color w:val="231F20"/>
        </w:rPr>
        <w:t>The remaining unamortized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 xml:space="preserve">deferred financing costs of $1.4 million for the 2022 Revolving Credit Facility was recorded as a loss from extinguishment of debt and included in interest expense on the condensed consolidated statements of operations for the </w:t>
      </w:r>
      <w:r>
        <w:rPr>
          <w:rFonts w:ascii="Times New Roman" w:cs="Times New Roman" w:eastAsia="Times New Roman" w:hAnsi="Times New Roman"/>
          <w:sz w:val="17"/>
          <w:szCs w:val="17"/>
          <w:color w:val="000000"/>
        </w:rPr>
        <w:t>three months ended July 31, 2025</w:t>
      </w:r>
      <w:r>
        <w:rPr>
          <w:rFonts w:ascii="Times New Roman" w:cs="Times New Roman" w:eastAsia="Times New Roman" w:hAnsi="Times New Roman"/>
          <w:sz w:val="17"/>
          <w:szCs w:val="17"/>
          <w:color w:val="231F20"/>
        </w:rPr>
        <w:t xml:space="preserve">. There was </w:t>
      </w:r>
      <w:r>
        <w:rPr>
          <w:rFonts w:ascii="Times New Roman" w:cs="Times New Roman" w:eastAsia="Times New Roman" w:hAnsi="Times New Roman"/>
          <w:sz w:val="17"/>
          <w:szCs w:val="17"/>
          <w:color w:val="000000"/>
        </w:rPr>
        <w:t>no</w:t>
      </w:r>
      <w:r>
        <w:rPr>
          <w:rFonts w:ascii="Times New Roman" w:cs="Times New Roman" w:eastAsia="Times New Roman" w:hAnsi="Times New Roman"/>
          <w:sz w:val="17"/>
          <w:szCs w:val="17"/>
          <w:color w:val="231F20"/>
        </w:rPr>
        <w:t xml:space="preserve"> amortization of debt issuance costs related to the 2022</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 xml:space="preserve">Credit Agreement for the </w:t>
      </w:r>
      <w:r>
        <w:rPr>
          <w:rFonts w:ascii="Times New Roman" w:cs="Times New Roman" w:eastAsia="Times New Roman" w:hAnsi="Times New Roman"/>
          <w:sz w:val="17"/>
          <w:szCs w:val="17"/>
          <w:color w:val="000000"/>
        </w:rPr>
        <w:t>three months ended April 30, 2026.</w:t>
      </w:r>
      <w:r>
        <w:rPr>
          <w:rFonts w:ascii="Times New Roman" w:cs="Times New Roman" w:eastAsia="Times New Roman" w:hAnsi="Times New Roman"/>
          <w:sz w:val="17"/>
          <w:szCs w:val="17"/>
          <w:color w:val="231F20"/>
        </w:rPr>
        <w:t xml:space="preserve"> Amortization of debt issuance costs was $0.4 million for the </w:t>
      </w:r>
      <w:r>
        <w:rPr>
          <w:rFonts w:ascii="Times New Roman" w:cs="Times New Roman" w:eastAsia="Times New Roman" w:hAnsi="Times New Roman"/>
          <w:sz w:val="17"/>
          <w:szCs w:val="17"/>
          <w:color w:val="000000"/>
        </w:rPr>
        <w:t>three months ended April 30, 2025.</w:t>
      </w:r>
    </w:p>
    <w:p>
      <w:pPr>
        <w:spacing w:after="0" w:line="168"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 xml:space="preserve">There was no interest expense recognized related to the Term Loans for the three months ended </w:t>
      </w:r>
      <w:r>
        <w:rPr>
          <w:rFonts w:ascii="Times New Roman" w:cs="Times New Roman" w:eastAsia="Times New Roman" w:hAnsi="Times New Roman"/>
          <w:sz w:val="17"/>
          <w:szCs w:val="17"/>
          <w:color w:val="231F20"/>
        </w:rPr>
        <w:t>April 30, 2026</w:t>
      </w:r>
      <w:r>
        <w:rPr>
          <w:rFonts w:ascii="Times New Roman" w:cs="Times New Roman" w:eastAsia="Times New Roman" w:hAnsi="Times New Roman"/>
          <w:sz w:val="17"/>
          <w:szCs w:val="17"/>
          <w:color w:val="auto"/>
        </w:rPr>
        <w:t xml:space="preserve">. Total interest expense recognized related to the Term Loans for the three months ended April 30, 2025 was </w:t>
      </w:r>
      <w:r>
        <w:rPr>
          <w:rFonts w:ascii="Times New Roman" w:cs="Times New Roman" w:eastAsia="Times New Roman" w:hAnsi="Times New Roman"/>
          <w:sz w:val="17"/>
          <w:szCs w:val="17"/>
          <w:color w:val="231F20"/>
        </w:rPr>
        <w:t>$22.4 million,</w:t>
      </w:r>
      <w:r>
        <w:rPr>
          <w:rFonts w:ascii="Times New Roman" w:cs="Times New Roman" w:eastAsia="Times New Roman" w:hAnsi="Times New Roman"/>
          <w:sz w:val="17"/>
          <w:szCs w:val="17"/>
          <w:color w:val="auto"/>
        </w:rPr>
        <w:t xml:space="preserve"> consisting of contractual interest expense of </w:t>
      </w:r>
      <w:r>
        <w:rPr>
          <w:rFonts w:ascii="Times New Roman" w:cs="Times New Roman" w:eastAsia="Times New Roman" w:hAnsi="Times New Roman"/>
          <w:sz w:val="17"/>
          <w:szCs w:val="17"/>
          <w:color w:val="231F20"/>
        </w:rPr>
        <w:t>$6.7 million, amortization of debt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 xml:space="preserve">issuance costs of $0.3 million, and $15.3 million </w:t>
      </w:r>
      <w:r>
        <w:rPr>
          <w:rFonts w:ascii="Times New Roman" w:cs="Times New Roman" w:eastAsia="Times New Roman" w:hAnsi="Times New Roman"/>
          <w:sz w:val="17"/>
          <w:szCs w:val="17"/>
          <w:color w:val="000000"/>
        </w:rPr>
        <w:t>loss from the</w:t>
      </w:r>
      <w:r>
        <w:rPr>
          <w:rFonts w:ascii="Times New Roman" w:cs="Times New Roman" w:eastAsia="Times New Roman" w:hAnsi="Times New Roman"/>
          <w:sz w:val="17"/>
          <w:szCs w:val="17"/>
          <w:color w:val="231F20"/>
        </w:rPr>
        <w:t xml:space="preserve"> extinguishment of debt.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Related Party Transactions</w:t>
      </w:r>
    </w:p>
    <w:p>
      <w:pPr>
        <w:spacing w:after="0" w:line="22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 xml:space="preserve">The Company is an affiliate of Thoma Bravo. The Company engaged in ordinary sales transactions with entities affiliated with Thoma Bravo of $0.8 million and $0.7 million for the three months ended </w:t>
      </w:r>
      <w:r>
        <w:rPr>
          <w:rFonts w:ascii="Times New Roman" w:cs="Times New Roman" w:eastAsia="Times New Roman" w:hAnsi="Times New Roman"/>
          <w:sz w:val="17"/>
          <w:szCs w:val="17"/>
          <w:color w:val="231F20"/>
        </w:rPr>
        <w:t>April 30, 2026 and</w:t>
      </w:r>
      <w:r>
        <w:rPr>
          <w:rFonts w:ascii="Times New Roman" w:cs="Times New Roman" w:eastAsia="Times New Roman" w:hAnsi="Times New Roman"/>
          <w:sz w:val="17"/>
          <w:szCs w:val="17"/>
          <w:color w:val="auto"/>
        </w:rPr>
        <w:t xml:space="preserve"> 2025, respectively, and ordinary purchase transactions of $1.3 million for each of the three months ended </w:t>
      </w:r>
      <w:r>
        <w:rPr>
          <w:rFonts w:ascii="Times New Roman" w:cs="Times New Roman" w:eastAsia="Times New Roman" w:hAnsi="Times New Roman"/>
          <w:sz w:val="17"/>
          <w:szCs w:val="17"/>
          <w:color w:val="231F20"/>
        </w:rPr>
        <w:t>April 30, 2026 and</w:t>
      </w:r>
      <w:r>
        <w:rPr>
          <w:rFonts w:ascii="Times New Roman" w:cs="Times New Roman" w:eastAsia="Times New Roman" w:hAnsi="Times New Roman"/>
          <w:sz w:val="17"/>
          <w:szCs w:val="17"/>
          <w:color w:val="auto"/>
        </w:rPr>
        <w:t xml:space="preserve"> 2025.</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Equity-Based Compensation</w:t>
      </w:r>
    </w:p>
    <w:p>
      <w:pPr>
        <w:spacing w:after="0" w:line="2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Omnibus Incentive Plan</w:t>
      </w:r>
    </w:p>
    <w:p>
      <w:pPr>
        <w:spacing w:after="0" w:line="159" w:lineRule="exact"/>
        <w:rPr>
          <w:sz w:val="20"/>
          <w:szCs w:val="20"/>
          <w:color w:val="auto"/>
        </w:rPr>
      </w:pPr>
    </w:p>
    <w:p>
      <w:pPr>
        <w:jc w:val="both"/>
        <w:ind w:firstLine="624"/>
        <w:spacing w:after="0" w:line="243" w:lineRule="auto"/>
        <w:rPr>
          <w:sz w:val="20"/>
          <w:szCs w:val="20"/>
          <w:color w:val="auto"/>
        </w:rPr>
      </w:pPr>
      <w:r>
        <w:rPr>
          <w:rFonts w:ascii="Times New Roman" w:cs="Times New Roman" w:eastAsia="Times New Roman" w:hAnsi="Times New Roman"/>
          <w:sz w:val="17"/>
          <w:szCs w:val="17"/>
          <w:color w:val="auto"/>
        </w:rPr>
        <w:t xml:space="preserve">On February 12, 2025, the shareholders and the Company's Board of Directors (the "Board") approved the SailPoint, Inc. Omnibus Incentive Plan (the "Omnibus Plan"), which then became effective. The aggregate number of shares of common stock that may be issued pursuant to the Omnibus Plan is 61,083,763, subject to an annual increase on February 1 of each fiscal year, equal to the lesser of (a) 5% of the aggregate number of shares of common stock outstanding on January 31 of the immediately preceding fiscal year and (b) such smaller number of shares as determined by the Board. Pursuant to the "evergreen" provision contained in the Omnibus Plan, the Board approved an increase of 28,189,081 additional shares to be added to the plan effective as of February 1, 2026. As of </w:t>
      </w:r>
      <w:r>
        <w:rPr>
          <w:rFonts w:ascii="Times New Roman" w:cs="Times New Roman" w:eastAsia="Times New Roman" w:hAnsi="Times New Roman"/>
          <w:sz w:val="17"/>
          <w:szCs w:val="17"/>
          <w:color w:val="231F20"/>
        </w:rPr>
        <w:t>April 30, 2026</w:t>
      </w:r>
      <w:r>
        <w:rPr>
          <w:rFonts w:ascii="Times New Roman" w:cs="Times New Roman" w:eastAsia="Times New Roman" w:hAnsi="Times New Roman"/>
          <w:sz w:val="17"/>
          <w:szCs w:val="17"/>
          <w:color w:val="auto"/>
        </w:rPr>
        <w:t>, the maximum number of shares authorized under the Omnibus Plan was 89,272,844 and the number of shares available for issuance was 47,955,773.</w:t>
      </w:r>
    </w:p>
    <w:p>
      <w:pPr>
        <w:spacing w:after="0" w:line="398" w:lineRule="exact"/>
        <w:rPr>
          <w:sz w:val="20"/>
          <w:szCs w:val="20"/>
          <w:color w:val="auto"/>
        </w:rPr>
      </w:pPr>
    </w:p>
    <w:p>
      <w:pPr>
        <w:jc w:val="both"/>
        <w:ind w:firstLine="624"/>
        <w:spacing w:after="0" w:line="251" w:lineRule="auto"/>
        <w:rPr>
          <w:sz w:val="20"/>
          <w:szCs w:val="20"/>
          <w:color w:val="auto"/>
        </w:rPr>
      </w:pPr>
      <w:r>
        <w:rPr>
          <w:rFonts w:ascii="Times New Roman" w:cs="Times New Roman" w:eastAsia="Times New Roman" w:hAnsi="Times New Roman"/>
          <w:sz w:val="17"/>
          <w:szCs w:val="17"/>
          <w:color w:val="auto"/>
        </w:rPr>
        <w:t>Under the Omnibus Plan, the Company may grant stock options, stock appreciation rights, restricted stock, restricted stock units ("RSUs"), stock awards, dividend equivalents, other stock-based awards, cash awards, and substitute awards intended to align the interests of award holders with those of the Company's stockholders. Awards made under the Omnibus Plan vest based on continued service to the Company and/or its affiliates. Equity-based compensation costs for granted awards are recognized as an expense on a straight-line basis over the requisite service period as the services are performed.</w:t>
      </w:r>
    </w:p>
    <w:p>
      <w:pPr>
        <w:spacing w:after="0" w:line="196" w:lineRule="exact"/>
        <w:rPr>
          <w:sz w:val="20"/>
          <w:szCs w:val="20"/>
          <w:color w:val="auto"/>
        </w:rPr>
      </w:pPr>
    </w:p>
    <w:p>
      <w:pPr>
        <w:jc w:val="both"/>
        <w:ind w:firstLine="624"/>
        <w:spacing w:after="0" w:line="277" w:lineRule="auto"/>
        <w:rPr>
          <w:sz w:val="20"/>
          <w:szCs w:val="20"/>
          <w:color w:val="auto"/>
        </w:rPr>
      </w:pPr>
      <w:r>
        <w:rPr>
          <w:rFonts w:ascii="Times New Roman" w:cs="Times New Roman" w:eastAsia="Times New Roman" w:hAnsi="Times New Roman"/>
          <w:sz w:val="17"/>
          <w:szCs w:val="17"/>
          <w:color w:val="auto"/>
        </w:rPr>
        <w:t>Capitalized equity-based compensation expense is recorded as part of property and equipment, net on the condensed consolidated balance sheets and is amortized on a project-by-project basis using the straight-line method.</w:t>
      </w:r>
    </w:p>
    <w:p>
      <w:pPr>
        <w:spacing w:after="0" w:line="172" w:lineRule="exact"/>
        <w:rPr>
          <w:sz w:val="20"/>
          <w:szCs w:val="20"/>
          <w:color w:val="auto"/>
        </w:rPr>
      </w:pPr>
    </w:p>
    <w:p>
      <w:pPr>
        <w:jc w:val="both"/>
        <w:ind w:firstLine="624"/>
        <w:spacing w:after="0" w:line="258" w:lineRule="auto"/>
        <w:rPr>
          <w:sz w:val="20"/>
          <w:szCs w:val="20"/>
          <w:color w:val="auto"/>
        </w:rPr>
      </w:pPr>
      <w:r>
        <w:rPr>
          <w:rFonts w:ascii="Times New Roman" w:cs="Times New Roman" w:eastAsia="Times New Roman" w:hAnsi="Times New Roman"/>
          <w:sz w:val="17"/>
          <w:szCs w:val="17"/>
          <w:color w:val="auto"/>
        </w:rPr>
        <w:t xml:space="preserve">During the three months ended </w:t>
      </w:r>
      <w:r>
        <w:rPr>
          <w:rFonts w:ascii="Times New Roman" w:cs="Times New Roman" w:eastAsia="Times New Roman" w:hAnsi="Times New Roman"/>
          <w:sz w:val="17"/>
          <w:szCs w:val="17"/>
          <w:color w:val="231F20"/>
        </w:rPr>
        <w:t>April 30, 2026</w:t>
      </w:r>
      <w:r>
        <w:rPr>
          <w:rFonts w:ascii="Times New Roman" w:cs="Times New Roman" w:eastAsia="Times New Roman" w:hAnsi="Times New Roman"/>
          <w:sz w:val="17"/>
          <w:szCs w:val="17"/>
          <w:color w:val="auto"/>
        </w:rPr>
        <w:t xml:space="preserve">, the Company granted 21,417,955 RSUs that vest ratably, predominantly over two to four years based on continued service to the Company. Remaining total unrecognized equity-based compensation related to outstanding RSUs as of </w:t>
      </w:r>
      <w:r>
        <w:rPr>
          <w:rFonts w:ascii="Times New Roman" w:cs="Times New Roman" w:eastAsia="Times New Roman" w:hAnsi="Times New Roman"/>
          <w:sz w:val="17"/>
          <w:szCs w:val="17"/>
          <w:color w:val="231F20"/>
        </w:rPr>
        <w:t>April 30, 2026</w:t>
      </w:r>
      <w:r>
        <w:rPr>
          <w:rFonts w:ascii="Times New Roman" w:cs="Times New Roman" w:eastAsia="Times New Roman" w:hAnsi="Times New Roman"/>
          <w:sz w:val="17"/>
          <w:szCs w:val="17"/>
          <w:color w:val="auto"/>
        </w:rPr>
        <w:t xml:space="preserve"> is $452.3 million, with a weighted average remaining life of 3.0 years.</w:t>
      </w:r>
    </w:p>
    <w:p>
      <w:pPr>
        <w:spacing w:after="0" w:line="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Equity-Based Compensation Expense</w:t>
      </w:r>
    </w:p>
    <w:p>
      <w:pPr>
        <w:spacing w:after="0" w:line="2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summary of the Company’s equity-based compensation expense by award type is presented below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80" w:type="dxa"/>
            <w:vAlign w:val="bottom"/>
          </w:tcPr>
          <w:p>
            <w:pPr>
              <w:spacing w:after="0"/>
              <w:rPr>
                <w:sz w:val="19"/>
                <w:szCs w:val="19"/>
                <w:color w:val="auto"/>
              </w:rPr>
            </w:pPr>
          </w:p>
        </w:tc>
        <w:tc>
          <w:tcPr>
            <w:tcW w:w="3360" w:type="dxa"/>
            <w:vAlign w:val="bottom"/>
            <w:tcBorders>
              <w:bottom w:val="single" w:sz="8" w:color="auto"/>
            </w:tcBorders>
            <w:gridSpan w:val="5"/>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r>
      <w:tr>
        <w:trPr>
          <w:trHeight w:val="214"/>
        </w:trPr>
        <w:tc>
          <w:tcPr>
            <w:tcW w:w="78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4"/>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Incentive equity units</w:t>
            </w:r>
          </w:p>
        </w:tc>
        <w:tc>
          <w:tcPr>
            <w:tcW w:w="104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62,358</w:t>
            </w:r>
          </w:p>
        </w:tc>
      </w:tr>
      <w:tr>
        <w:trPr>
          <w:trHeight w:val="221"/>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appreciation rights</w:t>
            </w:r>
          </w:p>
        </w:tc>
        <w:tc>
          <w:tcPr>
            <w:tcW w:w="10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13,307</w:t>
            </w:r>
          </w:p>
        </w:tc>
      </w:tr>
      <w:tr>
        <w:trPr>
          <w:trHeight w:val="221"/>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awards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4,952</w:t>
            </w:r>
          </w:p>
        </w:tc>
      </w:tr>
      <w:tr>
        <w:trPr>
          <w:trHeight w:val="221"/>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units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68,916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38,517</w:t>
            </w:r>
          </w:p>
        </w:tc>
      </w:tr>
      <w:tr>
        <w:trPr>
          <w:trHeight w:val="221"/>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Cash-settled awards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41,571</w:t>
            </w:r>
          </w:p>
        </w:tc>
      </w:tr>
      <w:tr>
        <w:trPr>
          <w:trHeight w:val="239"/>
        </w:trPr>
        <w:tc>
          <w:tcPr>
            <w:tcW w:w="7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equity-based compensation expense</w:t>
            </w:r>
          </w:p>
        </w:tc>
        <w:tc>
          <w:tcPr>
            <w:tcW w:w="104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70,616</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160,705</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firstLine="624"/>
        <w:spacing w:after="0" w:line="251" w:lineRule="auto"/>
        <w:rPr>
          <w:sz w:val="20"/>
          <w:szCs w:val="20"/>
          <w:color w:val="auto"/>
        </w:rPr>
      </w:pPr>
      <w:r>
        <w:rPr>
          <w:rFonts w:ascii="Times New Roman" w:cs="Times New Roman" w:eastAsia="Times New Roman" w:hAnsi="Times New Roman"/>
          <w:sz w:val="17"/>
          <w:szCs w:val="17"/>
          <w:color w:val="auto"/>
        </w:rPr>
        <w:t>On January 31, 2025, the Board approved modifications to accelerate the vesting of certain incentive units, equity appreciation rights (“EARs”), and cash settled awards subject to the pricing and closing of the IPO. Prior to the Corporate Conversion, the Company modified 3,036,888 incentive units and 377,077 EARs. Upon the IPO, the vested incentive units were considered redeemable. During the three months ended April 30, 2025, as a result of the modifications and the closing of</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IPO, the Company recognized $113.8 million of equity-based compensation expense in the condensed consolidated statement of operations, which was comprised of $61.5 million, $12.6 million, and $39.8 million of expense for the modified incentive units, EARs, and cash-settled awards, respectively.</w:t>
      </w:r>
    </w:p>
    <w:p>
      <w:pPr>
        <w:spacing w:after="0" w:line="172" w:lineRule="exact"/>
        <w:rPr>
          <w:sz w:val="20"/>
          <w:szCs w:val="20"/>
          <w:color w:val="auto"/>
        </w:rPr>
      </w:pPr>
    </w:p>
    <w:p>
      <w:pPr>
        <w:jc w:val="both"/>
        <w:ind w:firstLine="624"/>
        <w:spacing w:after="0" w:line="269" w:lineRule="auto"/>
        <w:rPr>
          <w:sz w:val="20"/>
          <w:szCs w:val="20"/>
          <w:color w:val="auto"/>
        </w:rPr>
      </w:pPr>
      <w:r>
        <w:rPr>
          <w:rFonts w:ascii="Times New Roman" w:cs="Times New Roman" w:eastAsia="Times New Roman" w:hAnsi="Times New Roman"/>
          <w:sz w:val="17"/>
          <w:szCs w:val="17"/>
          <w:color w:val="auto"/>
        </w:rPr>
        <w:t>A summary of the Company’s equity-based compensation expense as recognized in the condensed consolidated statements of operations is presented below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80" w:type="dxa"/>
            <w:vAlign w:val="bottom"/>
          </w:tcPr>
          <w:p>
            <w:pPr>
              <w:spacing w:after="0"/>
              <w:rPr>
                <w:sz w:val="19"/>
                <w:szCs w:val="19"/>
                <w:color w:val="auto"/>
              </w:rPr>
            </w:pPr>
          </w:p>
        </w:tc>
        <w:tc>
          <w:tcPr>
            <w:tcW w:w="3360" w:type="dxa"/>
            <w:vAlign w:val="bottom"/>
            <w:tcBorders>
              <w:bottom w:val="single" w:sz="8" w:color="auto"/>
            </w:tcBorders>
            <w:gridSpan w:val="5"/>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r>
      <w:tr>
        <w:trPr>
          <w:trHeight w:val="214"/>
        </w:trPr>
        <w:tc>
          <w:tcPr>
            <w:tcW w:w="78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4"/>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 - subscription</w:t>
            </w:r>
          </w:p>
        </w:tc>
        <w:tc>
          <w:tcPr>
            <w:tcW w:w="104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11,264</w:t>
            </w:r>
          </w:p>
        </w:tc>
      </w:tr>
      <w:tr>
        <w:trPr>
          <w:trHeight w:val="221"/>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revenue - services and other</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10,328</w:t>
            </w:r>
          </w:p>
        </w:tc>
      </w:tr>
      <w:tr>
        <w:trPr>
          <w:trHeight w:val="221"/>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27,839</w:t>
            </w:r>
          </w:p>
        </w:tc>
      </w:tr>
      <w:tr>
        <w:trPr>
          <w:trHeight w:val="221"/>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22,470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53,503</w:t>
            </w:r>
          </w:p>
        </w:tc>
      </w:tr>
      <w:tr>
        <w:trPr>
          <w:trHeight w:val="221"/>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24,648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57,525</w:t>
            </w:r>
          </w:p>
        </w:tc>
      </w:tr>
      <w:tr>
        <w:trPr>
          <w:trHeight w:val="214"/>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equity-based compensation expense, net of amounts capitalized</w:t>
            </w:r>
          </w:p>
        </w:tc>
        <w:tc>
          <w:tcPr>
            <w:tcW w:w="1040" w:type="dxa"/>
            <w:vAlign w:val="bottom"/>
          </w:tcPr>
          <w:p>
            <w:pPr>
              <w:jc w:val="right"/>
              <w:ind w:right="85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69,122</w:t>
            </w:r>
          </w:p>
        </w:tc>
        <w:tc>
          <w:tcPr>
            <w:tcW w:w="80" w:type="dxa"/>
            <w:vAlign w:val="bottom"/>
          </w:tcPr>
          <w:p>
            <w:pPr>
              <w:spacing w:after="0"/>
              <w:rPr>
                <w:sz w:val="18"/>
                <w:szCs w:val="18"/>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160,459</w:t>
            </w:r>
          </w:p>
        </w:tc>
      </w:tr>
      <w:tr>
        <w:trPr>
          <w:trHeight w:val="221"/>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Capitalized equity-based compensation</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r>
      <w:tr>
        <w:trPr>
          <w:trHeight w:val="214"/>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equity-based compensation expense</w:t>
            </w:r>
          </w:p>
        </w:tc>
        <w:tc>
          <w:tcPr>
            <w:tcW w:w="104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70,616</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160,705</w:t>
            </w:r>
          </w:p>
        </w:tc>
      </w:tr>
      <w:tr>
        <w:trPr>
          <w:trHeight w:val="20"/>
        </w:trPr>
        <w:tc>
          <w:tcPr>
            <w:tcW w:w="7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firstLine="624"/>
        <w:spacing w:after="0" w:line="258" w:lineRule="auto"/>
        <w:rPr>
          <w:sz w:val="20"/>
          <w:szCs w:val="20"/>
          <w:color w:val="auto"/>
        </w:rPr>
      </w:pPr>
      <w:r>
        <w:rPr>
          <w:rFonts w:ascii="Times New Roman" w:cs="Times New Roman" w:eastAsia="Times New Roman" w:hAnsi="Times New Roman"/>
          <w:sz w:val="17"/>
          <w:szCs w:val="17"/>
          <w:color w:val="auto"/>
        </w:rPr>
        <w:t xml:space="preserve">There are equity-based compensation awards that could potentially dilute basic earnings per share and per unit ("EPS") in the future that were not included in the computation of diluted EPS because to do so would have been anti-dilutive. The following table summarizes the Company’s anti-dilutive securities </w:t>
      </w:r>
      <w:r>
        <w:rPr>
          <w:rFonts w:ascii="Times New Roman" w:cs="Times New Roman" w:eastAsia="Times New Roman" w:hAnsi="Times New Roman"/>
          <w:sz w:val="17"/>
          <w:szCs w:val="17"/>
          <w:color w:val="231F20"/>
        </w:rPr>
        <w:t>(in thousands)</w:t>
      </w:r>
      <w:r>
        <w:rPr>
          <w:rFonts w:ascii="Times New Roman" w:cs="Times New Roman" w:eastAsia="Times New Roman" w:hAnsi="Times New Roman"/>
          <w:sz w:val="17"/>
          <w:szCs w:val="17"/>
          <w:color w:val="auto"/>
        </w:rPr>
        <w:t>:</w:t>
      </w:r>
    </w:p>
    <w:p>
      <w:pPr>
        <w:spacing w:after="0" w:line="238"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88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6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4"/>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shares - RSAs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w:t>
            </w:r>
          </w:p>
        </w:tc>
      </w:tr>
      <w:tr>
        <w:trPr>
          <w:trHeight w:val="221"/>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Unvested shares - RSUs</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29,416</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16,570</w:t>
            </w:r>
          </w:p>
        </w:tc>
      </w:tr>
      <w:tr>
        <w:trPr>
          <w:trHeight w:val="221"/>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ESPP</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89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30,552</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17,636</w:t>
            </w:r>
          </w:p>
        </w:tc>
      </w:tr>
      <w:tr>
        <w:trPr>
          <w:trHeight w:val="20"/>
        </w:trPr>
        <w:tc>
          <w:tcPr>
            <w:tcW w:w="78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211" w:lineRule="exact"/>
        <w:rPr>
          <w:sz w:val="20"/>
          <w:szCs w:val="20"/>
          <w:color w:val="auto"/>
        </w:rPr>
      </w:pPr>
    </w:p>
    <w:p>
      <w:pPr>
        <w:jc w:val="both"/>
        <w:ind w:firstLine="624"/>
        <w:spacing w:after="0" w:line="244" w:lineRule="auto"/>
        <w:rPr>
          <w:sz w:val="20"/>
          <w:szCs w:val="20"/>
          <w:color w:val="auto"/>
        </w:rPr>
      </w:pPr>
      <w:r>
        <w:rPr>
          <w:rFonts w:ascii="Times New Roman" w:cs="Times New Roman" w:eastAsia="Times New Roman" w:hAnsi="Times New Roman"/>
          <w:sz w:val="17"/>
          <w:szCs w:val="17"/>
          <w:color w:val="auto"/>
        </w:rPr>
        <w:t xml:space="preserve">In February 2025, the Board adopted the SailPoint, Inc. Employee Stock Purchase Plan (the "ESPP"). The ESPP authorized the issuance of shares of common stock pursuant to purchase rights granted to employees. The aggregate number of shares of common stock originally authorized for issuance under the ESPP was 11,106,139 shares, subject to an annual increase on February 1 of each fiscal year, equal to the lesser of (a) 1% of the aggregate number of shares of common stock outstanding on January 31 of the immediately preceding fiscal year and (b) such smaller number of shares as determined by the Board. As of </w:t>
      </w:r>
      <w:r>
        <w:rPr>
          <w:rFonts w:ascii="Times New Roman" w:cs="Times New Roman" w:eastAsia="Times New Roman" w:hAnsi="Times New Roman"/>
          <w:sz w:val="17"/>
          <w:szCs w:val="17"/>
          <w:color w:val="231F20"/>
        </w:rPr>
        <w:t>April 30, 2026</w:t>
      </w:r>
      <w:r>
        <w:rPr>
          <w:rFonts w:ascii="Times New Roman" w:cs="Times New Roman" w:eastAsia="Times New Roman" w:hAnsi="Times New Roman"/>
          <w:sz w:val="17"/>
          <w:szCs w:val="17"/>
          <w:color w:val="000000"/>
        </w:rPr>
        <w:t>, the maximum number of shares authorized and available for issuance under the ESPP was 16,743,955.</w:t>
      </w:r>
    </w:p>
    <w:p>
      <w:pPr>
        <w:spacing w:after="0" w:line="202" w:lineRule="exact"/>
        <w:rPr>
          <w:sz w:val="20"/>
          <w:szCs w:val="20"/>
          <w:color w:val="auto"/>
        </w:rPr>
      </w:pPr>
    </w:p>
    <w:p>
      <w:pPr>
        <w:jc w:val="both"/>
        <w:ind w:firstLine="624"/>
        <w:spacing w:after="0" w:line="245" w:lineRule="auto"/>
        <w:rPr>
          <w:sz w:val="20"/>
          <w:szCs w:val="20"/>
          <w:color w:val="auto"/>
        </w:rPr>
      </w:pPr>
      <w:r>
        <w:rPr>
          <w:rFonts w:ascii="Times New Roman" w:cs="Times New Roman" w:eastAsia="Times New Roman" w:hAnsi="Times New Roman"/>
          <w:sz w:val="17"/>
          <w:szCs w:val="17"/>
          <w:color w:val="auto"/>
        </w:rPr>
        <w:t xml:space="preserve">Under the ESPP, employees are offered the right to purchase shares at a discount during one or more offering periods. The plan administrator designates the terms and conditions of each offering, including the offering period. The first such offering period is six months and commenced April 11, 2026. Future offering periods are expected to also be six months and are to begin on each April 11th and October 11th. Stock-based compensation related to the ESPP is recognized on a straight-line basis over the applicable offering period. Under the ESPP, eligible employees may purchase shares of the Company's common stock at a price equal to 85% of the lower of the fair market value of the Company's common stock on (i) the first trading day of the applicable offering period and (ii) the last trading day of the applicable offering period. As of </w:t>
      </w:r>
      <w:r>
        <w:rPr>
          <w:rFonts w:ascii="Times New Roman" w:cs="Times New Roman" w:eastAsia="Times New Roman" w:hAnsi="Times New Roman"/>
          <w:sz w:val="17"/>
          <w:szCs w:val="17"/>
          <w:color w:val="231F20"/>
        </w:rPr>
        <w:t>April 30, 2026</w:t>
      </w:r>
      <w:r>
        <w:rPr>
          <w:rFonts w:ascii="Times New Roman" w:cs="Times New Roman" w:eastAsia="Times New Roman" w:hAnsi="Times New Roman"/>
          <w:sz w:val="17"/>
          <w:szCs w:val="17"/>
          <w:color w:val="auto"/>
        </w:rPr>
        <w:t xml:space="preserve">, no shares were purchased under the ESPP. Remaining unrecognized equity-based compensation related to the ESPP as of </w:t>
      </w:r>
      <w:r>
        <w:rPr>
          <w:rFonts w:ascii="Times New Roman" w:cs="Times New Roman" w:eastAsia="Times New Roman" w:hAnsi="Times New Roman"/>
          <w:sz w:val="17"/>
          <w:szCs w:val="17"/>
          <w:color w:val="231F20"/>
        </w:rPr>
        <w:t>April 30, 2026</w:t>
      </w:r>
      <w:r>
        <w:rPr>
          <w:rFonts w:ascii="Times New Roman" w:cs="Times New Roman" w:eastAsia="Times New Roman" w:hAnsi="Times New Roman"/>
          <w:sz w:val="17"/>
          <w:szCs w:val="17"/>
          <w:color w:val="auto"/>
        </w:rPr>
        <w:t xml:space="preserve"> is $3.3 million, with a weighted average remaining life of 0.44 years.</w:t>
      </w:r>
    </w:p>
    <w:p>
      <w:pPr>
        <w:spacing w:after="0" w:line="214"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 xml:space="preserve">The Company uses a Monte Carlo option-pricing model to estimate the fair value of ESPP awards. The grant date for each offering period is the first trading day of the offering period, and compensation cost is measured using the fair value of the award on that date. The following table summarizes the assumptions used in the Monte Carlo model to determine the grant-date fair value of employee stock purchase rights granted under the ESPP for the offering period with a grant date occurring during the three months ended </w:t>
      </w:r>
      <w:r>
        <w:rPr>
          <w:rFonts w:ascii="Times New Roman" w:cs="Times New Roman" w:eastAsia="Times New Roman" w:hAnsi="Times New Roman"/>
          <w:sz w:val="17"/>
          <w:szCs w:val="17"/>
          <w:color w:val="231F20"/>
        </w:rPr>
        <w:t>April 30, 2026</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40" w:type="dxa"/>
            <w:vAlign w:val="bottom"/>
          </w:tcPr>
          <w:p>
            <w:pPr>
              <w:spacing w:after="0"/>
              <w:rPr>
                <w:sz w:val="17"/>
                <w:szCs w:val="17"/>
                <w:color w:val="auto"/>
              </w:rPr>
            </w:pPr>
          </w:p>
        </w:tc>
        <w:tc>
          <w:tcPr>
            <w:tcW w:w="1780" w:type="dxa"/>
            <w:vAlign w:val="bottom"/>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31"/>
        </w:trPr>
        <w:tc>
          <w:tcPr>
            <w:tcW w:w="924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April 30, 2026</w:t>
            </w:r>
          </w:p>
        </w:tc>
      </w:tr>
      <w:tr>
        <w:trPr>
          <w:trHeight w:val="217"/>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0.49</w:t>
            </w:r>
          </w:p>
        </w:tc>
      </w:tr>
      <w:tr>
        <w:trPr>
          <w:trHeight w:val="221"/>
        </w:trPr>
        <w:tc>
          <w:tcPr>
            <w:tcW w:w="9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65.00 %</w:t>
            </w:r>
          </w:p>
        </w:tc>
      </w:tr>
      <w:tr>
        <w:trPr>
          <w:trHeight w:val="221"/>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3.74 %</w:t>
            </w:r>
          </w:p>
        </w:tc>
      </w:tr>
      <w:tr>
        <w:trPr>
          <w:trHeight w:val="226"/>
        </w:trPr>
        <w:tc>
          <w:tcPr>
            <w:tcW w:w="9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bl>
    <w:p>
      <w:pPr>
        <w:spacing w:after="0" w:line="377" w:lineRule="exact"/>
        <w:rPr>
          <w:sz w:val="20"/>
          <w:szCs w:val="20"/>
          <w:color w:val="auto"/>
        </w:rPr>
      </w:pPr>
    </w:p>
    <w:p>
      <w:pPr>
        <w:jc w:val="right"/>
        <w:ind w:left="620" w:right="8860" w:hanging="616"/>
        <w:spacing w:after="0" w:line="384" w:lineRule="auto"/>
        <w:tabs>
          <w:tab w:leader="none" w:pos="256"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Balance Sheet Related Items </w:t>
      </w:r>
      <w:r>
        <w:rPr>
          <w:rFonts w:ascii="Times New Roman" w:cs="Times New Roman" w:eastAsia="Times New Roman" w:hAnsi="Times New Roman"/>
          <w:sz w:val="17"/>
          <w:szCs w:val="17"/>
          <w:b w:val="1"/>
          <w:bCs w:val="1"/>
          <w:i w:val="1"/>
          <w:iCs w:val="1"/>
          <w:color w:val="auto"/>
        </w:rPr>
        <w:t>Property and Equipment</w:t>
      </w: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cost and accumulated depreciation of property and equipment are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April 30, 2026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January 31, 2026</w:t>
            </w:r>
          </w:p>
        </w:tc>
      </w:tr>
      <w:tr>
        <w:trPr>
          <w:trHeight w:val="214"/>
        </w:trPr>
        <w:tc>
          <w:tcPr>
            <w:tcW w:w="8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16,068</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15,620</w:t>
            </w:r>
          </w:p>
        </w:tc>
      </w:tr>
      <w:tr>
        <w:trPr>
          <w:trHeight w:val="221"/>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Capitalized software development costs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29,591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23,345</w:t>
            </w:r>
          </w:p>
        </w:tc>
      </w:tr>
      <w:tr>
        <w:trPr>
          <w:trHeight w:val="22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3,792</w:t>
            </w:r>
          </w:p>
        </w:tc>
      </w:tr>
      <w:tr>
        <w:trPr>
          <w:trHeight w:val="221"/>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13,877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13,498</w:t>
            </w:r>
          </w:p>
        </w:tc>
      </w:tr>
      <w:tr>
        <w:trPr>
          <w:trHeight w:val="22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w:t>
            </w:r>
          </w:p>
        </w:tc>
      </w:tr>
      <w:tr>
        <w:trPr>
          <w:trHeight w:val="214"/>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64,313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57,471</w:t>
            </w:r>
          </w:p>
        </w:tc>
      </w:tr>
      <w:tr>
        <w:trPr>
          <w:trHeight w:val="22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(24,172)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(22,293)</w:t>
            </w:r>
          </w:p>
        </w:tc>
      </w:tr>
      <w:tr>
        <w:trPr>
          <w:trHeight w:val="214"/>
        </w:trPr>
        <w:tc>
          <w:tcPr>
            <w:tcW w:w="8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40,141</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35,178</w:t>
            </w:r>
          </w:p>
        </w:tc>
      </w:tr>
      <w:tr>
        <w:trPr>
          <w:trHeight w:val="20"/>
        </w:trPr>
        <w:tc>
          <w:tcPr>
            <w:tcW w:w="8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Depreciation and amortization expense was $2.3 million and $2.1 million for the three months ended April 30, 2026 and 2025, respectively, which includes amortization of software development costs of $0.7 million and $0.3 million for the three months ended April 30, 2026 and 2025, respectively.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tcPr>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Prepayments and Other Current Assets and Other Non-Current Assets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16"/>
        </w:trPr>
        <w:tc>
          <w:tcPr>
            <w:tcW w:w="83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Prepayments and other current assets consisted of the following (in thousands):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8"/>
        </w:trPr>
        <w:tc>
          <w:tcPr>
            <w:tcW w:w="8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April 30, 2026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January 31, 2026</w:t>
            </w:r>
          </w:p>
        </w:tc>
      </w:tr>
      <w:tr>
        <w:trPr>
          <w:trHeight w:val="214"/>
        </w:trPr>
        <w:tc>
          <w:tcPr>
            <w:tcW w:w="8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expenses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37,752</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26,699</w:t>
            </w:r>
          </w:p>
        </w:tc>
      </w:tr>
      <w:tr>
        <w:trPr>
          <w:trHeight w:val="221"/>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3,242</w:t>
            </w:r>
          </w:p>
        </w:tc>
      </w:tr>
      <w:tr>
        <w:trPr>
          <w:trHeight w:val="22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receivables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2,209</w:t>
            </w:r>
          </w:p>
        </w:tc>
      </w:tr>
      <w:tr>
        <w:trPr>
          <w:trHeight w:val="221"/>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9,376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7,138</w:t>
            </w:r>
          </w:p>
        </w:tc>
      </w:tr>
      <w:tr>
        <w:trPr>
          <w:trHeight w:val="239"/>
        </w:trPr>
        <w:tc>
          <w:tcPr>
            <w:tcW w:w="8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prepayments and other current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52,112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39,288</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Amortization expense related to capitalized implementation costs was $0.9 million and $0.3 million for the three months ended April 30, 2026 and 2025, respectively.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4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Other non-current assets consisted of the following (in thousands):</w:t>
            </w:r>
          </w:p>
        </w:tc>
        <w:tc>
          <w:tcPr>
            <w:tcW w:w="2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4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April 30, 2026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January 31, 2026</w:t>
            </w:r>
          </w:p>
        </w:tc>
        <w:tc>
          <w:tcPr>
            <w:tcW w:w="0" w:type="dxa"/>
            <w:vAlign w:val="bottom"/>
          </w:tcPr>
          <w:p>
            <w:pPr>
              <w:spacing w:after="0"/>
              <w:rPr>
                <w:sz w:val="1"/>
                <w:szCs w:val="1"/>
                <w:color w:val="auto"/>
              </w:rPr>
            </w:pPr>
          </w:p>
        </w:tc>
      </w:tr>
      <w:tr>
        <w:trPr>
          <w:trHeight w:val="214"/>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expenses</w:t>
            </w:r>
          </w:p>
        </w:tc>
        <w:tc>
          <w:tcPr>
            <w:tcW w:w="2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3,751</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3,681</w:t>
            </w:r>
          </w:p>
        </w:tc>
        <w:tc>
          <w:tcPr>
            <w:tcW w:w="0" w:type="dxa"/>
            <w:vAlign w:val="bottom"/>
          </w:tcPr>
          <w:p>
            <w:pPr>
              <w:spacing w:after="0"/>
              <w:rPr>
                <w:sz w:val="1"/>
                <w:szCs w:val="1"/>
                <w:color w:val="auto"/>
              </w:rPr>
            </w:pPr>
          </w:p>
        </w:tc>
      </w:tr>
      <w:tr>
        <w:trPr>
          <w:trHeight w:val="221"/>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 net</w:t>
            </w:r>
          </w:p>
        </w:tc>
        <w:tc>
          <w:tcPr>
            <w:tcW w:w="2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16,949</w:t>
            </w:r>
          </w:p>
        </w:tc>
        <w:tc>
          <w:tcPr>
            <w:tcW w:w="0" w:type="dxa"/>
            <w:vAlign w:val="bottom"/>
          </w:tcPr>
          <w:p>
            <w:pPr>
              <w:spacing w:after="0"/>
              <w:rPr>
                <w:sz w:val="1"/>
                <w:szCs w:val="1"/>
                <w:color w:val="auto"/>
              </w:rPr>
            </w:pPr>
          </w:p>
        </w:tc>
      </w:tr>
      <w:tr>
        <w:trPr>
          <w:trHeight w:val="221"/>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9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2,991</w:t>
            </w:r>
          </w:p>
        </w:tc>
        <w:tc>
          <w:tcPr>
            <w:tcW w:w="0" w:type="dxa"/>
            <w:vAlign w:val="bottom"/>
          </w:tcPr>
          <w:p>
            <w:pPr>
              <w:spacing w:after="0"/>
              <w:rPr>
                <w:sz w:val="1"/>
                <w:szCs w:val="1"/>
                <w:color w:val="auto"/>
              </w:rPr>
            </w:pPr>
          </w:p>
        </w:tc>
      </w:tr>
      <w:tr>
        <w:trPr>
          <w:trHeight w:val="214"/>
        </w:trPr>
        <w:tc>
          <w:tcPr>
            <w:tcW w:w="5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other non-current assets</w:t>
            </w:r>
          </w:p>
        </w:tc>
        <w:tc>
          <w:tcPr>
            <w:tcW w:w="29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22,149</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23,621</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900" w:type="dxa"/>
            <w:vAlign w:val="bottom"/>
            <w:vMerge w:val="restart"/>
          </w:tcPr>
          <w:p>
            <w:pPr>
              <w:jc w:val="right"/>
              <w:ind w:right="2493"/>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3"/>
        </w:trPr>
        <w:tc>
          <w:tcPr>
            <w:tcW w:w="540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400" w:type="dxa"/>
            <w:vAlign w:val="bottom"/>
            <w:tcBorders>
              <w:bottom w:val="single" w:sz="8" w:color="9A9A9A"/>
            </w:tcBorders>
          </w:tcPr>
          <w:p>
            <w:pPr>
              <w:spacing w:after="0"/>
              <w:rPr>
                <w:sz w:val="9"/>
                <w:szCs w:val="9"/>
                <w:color w:val="auto"/>
              </w:rPr>
            </w:pPr>
          </w:p>
        </w:tc>
        <w:tc>
          <w:tcPr>
            <w:tcW w:w="29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5"/>
        </w:trPr>
        <w:tc>
          <w:tcPr>
            <w:tcW w:w="1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7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955"/>
        </w:trPr>
        <w:tc>
          <w:tcPr>
            <w:tcW w:w="8300" w:type="dxa"/>
            <w:vAlign w:val="bottom"/>
            <w:gridSpan w:val="2"/>
          </w:tcPr>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Accrued Expenses and Other Liabilities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12"/>
        </w:trPr>
        <w:tc>
          <w:tcPr>
            <w:tcW w:w="83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Accrued expenses and other liabilities consisted of the following (in thousands):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42"/>
        </w:trPr>
        <w:tc>
          <w:tcPr>
            <w:tcW w:w="124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April 30, 2026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January 31, 2026</w:t>
            </w:r>
          </w:p>
        </w:tc>
      </w:tr>
      <w:tr>
        <w:trPr>
          <w:trHeight w:val="214"/>
        </w:trPr>
        <w:tc>
          <w:tcPr>
            <w:tcW w:w="83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Commissions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15,381</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33,186</w:t>
            </w:r>
          </w:p>
        </w:tc>
      </w:tr>
      <w:tr>
        <w:trPr>
          <w:trHeight w:val="221"/>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Bonus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36,218</w:t>
            </w:r>
          </w:p>
        </w:tc>
      </w:tr>
      <w:tr>
        <w:trPr>
          <w:trHeight w:val="221"/>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5,349</w:t>
            </w:r>
          </w:p>
        </w:tc>
      </w:tr>
      <w:tr>
        <w:trPr>
          <w:trHeight w:val="221"/>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Payroll and related benefits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13,777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14,066</w:t>
            </w:r>
          </w:p>
        </w:tc>
      </w:tr>
      <w:tr>
        <w:trPr>
          <w:trHeight w:val="221"/>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other taxes payable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7,053</w:t>
            </w:r>
          </w:p>
        </w:tc>
      </w:tr>
      <w:tr>
        <w:trPr>
          <w:trHeight w:val="221"/>
        </w:trPr>
        <w:tc>
          <w:tcPr>
            <w:tcW w:w="8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28,133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25,592</w:t>
            </w:r>
          </w:p>
        </w:tc>
      </w:tr>
      <w:tr>
        <w:trPr>
          <w:trHeight w:val="239"/>
        </w:trPr>
        <w:tc>
          <w:tcPr>
            <w:tcW w:w="83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accrued expenses and other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121,464</w:t>
            </w: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Income Taxes</w:t>
      </w:r>
    </w:p>
    <w:p>
      <w:pPr>
        <w:spacing w:after="0" w:line="248" w:lineRule="exact"/>
        <w:rPr>
          <w:sz w:val="20"/>
          <w:szCs w:val="20"/>
          <w:color w:val="auto"/>
        </w:rPr>
      </w:pPr>
    </w:p>
    <w:p>
      <w:pPr>
        <w:jc w:val="both"/>
        <w:ind w:firstLine="624"/>
        <w:spacing w:after="0" w:line="266" w:lineRule="auto"/>
        <w:rPr>
          <w:sz w:val="20"/>
          <w:szCs w:val="20"/>
          <w:color w:val="auto"/>
        </w:rPr>
      </w:pPr>
      <w:r>
        <w:rPr>
          <w:rFonts w:ascii="Times New Roman" w:cs="Times New Roman" w:eastAsia="Times New Roman" w:hAnsi="Times New Roman"/>
          <w:sz w:val="17"/>
          <w:szCs w:val="17"/>
          <w:color w:val="1D1C1D"/>
        </w:rPr>
        <w:t>The provision for income taxes consists of U.S. and state income taxes and income taxes in foreign jurisdictions in which the Company conducts business.</w:t>
      </w:r>
    </w:p>
    <w:p>
      <w:pPr>
        <w:spacing w:after="0" w:line="200" w:lineRule="exact"/>
        <w:rPr>
          <w:sz w:val="20"/>
          <w:szCs w:val="20"/>
          <w:color w:val="auto"/>
        </w:rPr>
      </w:pPr>
    </w:p>
    <w:p>
      <w:pPr>
        <w:spacing w:after="0" w:line="233"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1D1C1D"/>
        </w:rPr>
        <w:t xml:space="preserve">The effective tax rate for the </w:t>
      </w:r>
      <w:r>
        <w:rPr>
          <w:rFonts w:ascii="Times New Roman" w:cs="Times New Roman" w:eastAsia="Times New Roman" w:hAnsi="Times New Roman"/>
          <w:sz w:val="17"/>
          <w:szCs w:val="17"/>
          <w:color w:val="000000"/>
        </w:rPr>
        <w:t>three months ended April 30, 2026</w:t>
      </w:r>
      <w:r>
        <w:rPr>
          <w:rFonts w:ascii="Times New Roman" w:cs="Times New Roman" w:eastAsia="Times New Roman" w:hAnsi="Times New Roman"/>
          <w:sz w:val="17"/>
          <w:szCs w:val="17"/>
          <w:color w:val="1D1C1D"/>
        </w:rPr>
        <w:t xml:space="preserve"> and </w:t>
      </w:r>
      <w:r>
        <w:rPr>
          <w:rFonts w:ascii="Times New Roman" w:cs="Times New Roman" w:eastAsia="Times New Roman" w:hAnsi="Times New Roman"/>
          <w:sz w:val="17"/>
          <w:szCs w:val="17"/>
          <w:color w:val="000000"/>
        </w:rPr>
        <w:t>2025</w:t>
      </w:r>
      <w:r>
        <w:rPr>
          <w:rFonts w:ascii="Times New Roman" w:cs="Times New Roman" w:eastAsia="Times New Roman" w:hAnsi="Times New Roman"/>
          <w:sz w:val="17"/>
          <w:szCs w:val="17"/>
          <w:color w:val="1D1C1D"/>
        </w:rPr>
        <w:t xml:space="preserve"> was </w:t>
      </w:r>
      <w:r>
        <w:rPr>
          <w:rFonts w:ascii="Times New Roman" w:cs="Times New Roman" w:eastAsia="Times New Roman" w:hAnsi="Times New Roman"/>
          <w:sz w:val="17"/>
          <w:szCs w:val="17"/>
          <w:color w:val="000000"/>
        </w:rPr>
        <w:t>6.7%</w:t>
      </w:r>
      <w:r>
        <w:rPr>
          <w:rFonts w:ascii="Times New Roman" w:cs="Times New Roman" w:eastAsia="Times New Roman" w:hAnsi="Times New Roman"/>
          <w:sz w:val="17"/>
          <w:szCs w:val="17"/>
          <w:color w:val="1D1C1D"/>
        </w:rPr>
        <w:t xml:space="preserve"> and </w:t>
      </w:r>
      <w:r>
        <w:rPr>
          <w:rFonts w:ascii="Times New Roman" w:cs="Times New Roman" w:eastAsia="Times New Roman" w:hAnsi="Times New Roman"/>
          <w:sz w:val="17"/>
          <w:szCs w:val="17"/>
          <w:color w:val="000000"/>
        </w:rPr>
        <w:t>8.3%</w:t>
      </w:r>
      <w:r>
        <w:rPr>
          <w:rFonts w:ascii="Times New Roman" w:cs="Times New Roman" w:eastAsia="Times New Roman" w:hAnsi="Times New Roman"/>
          <w:sz w:val="17"/>
          <w:szCs w:val="17"/>
          <w:color w:val="1D1C1D"/>
        </w:rPr>
        <w:t xml:space="preserve">, respectively. For the </w:t>
      </w:r>
      <w:r>
        <w:rPr>
          <w:rFonts w:ascii="Times New Roman" w:cs="Times New Roman" w:eastAsia="Times New Roman" w:hAnsi="Times New Roman"/>
          <w:sz w:val="17"/>
          <w:szCs w:val="17"/>
          <w:color w:val="000000"/>
        </w:rPr>
        <w:t>three months ended April 30, 2026</w:t>
      </w:r>
      <w:r>
        <w:rPr>
          <w:rFonts w:ascii="Times New Roman" w:cs="Times New Roman" w:eastAsia="Times New Roman" w:hAnsi="Times New Roman"/>
          <w:sz w:val="17"/>
          <w:szCs w:val="17"/>
          <w:color w:val="1D1C1D"/>
        </w:rPr>
        <w:t xml:space="preserve"> </w:t>
      </w:r>
      <w:r>
        <w:rPr>
          <w:rFonts w:ascii="Times New Roman" w:cs="Times New Roman" w:eastAsia="Times New Roman" w:hAnsi="Times New Roman"/>
          <w:sz w:val="17"/>
          <w:szCs w:val="17"/>
          <w:color w:val="000000"/>
        </w:rPr>
        <w:t>and April 30, 2025</w:t>
      </w:r>
      <w:r>
        <w:rPr>
          <w:rFonts w:ascii="Times New Roman" w:cs="Times New Roman" w:eastAsia="Times New Roman" w:hAnsi="Times New Roman"/>
          <w:sz w:val="17"/>
          <w:szCs w:val="17"/>
          <w:color w:val="1D1C1D"/>
        </w:rPr>
        <w:t>, the effective tax rate differs from the statutory rate primarily as a result of certain non-deductible equity-based compensation, non-deductible</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1D1C1D"/>
        </w:rPr>
        <w:t>executive officer compensation, and an increase in valuation allowance.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Segments and Geographic Information</w:t>
      </w:r>
    </w:p>
    <w:p>
      <w:pPr>
        <w:spacing w:after="0" w:line="222"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Operating segments are defined as components of an entity for which separate financial information is available and that is regularly reviewed by the Chief Operating Decision Maker (the "CODM"). The CODM is comprised of the Company's Chief Executive Officer, Chief Financial Officer and President. The Company's CODM reviews financial information presented on a consolidated basis for the purposes of making operating decisions, allocating resources, and evaluating financial performance. Accordingly, the Company determined that it operates in one reportable segment. The CODM utilizes GAAP and non-GAAP measures of profit and loss for evaluating the Company's overall performance and informing resource allocation to support strategic priorities. The GAAP measure of profit and loss used by the CODM for such purposes is net loss. Significant expense categories regularly provided to the CODM are those disclosed in the condensed consolidated financial statements and related notes.</w:t>
      </w:r>
    </w:p>
    <w:p>
      <w:pPr>
        <w:spacing w:after="0" w:line="188" w:lineRule="exact"/>
        <w:rPr>
          <w:sz w:val="20"/>
          <w:szCs w:val="20"/>
          <w:color w:val="auto"/>
        </w:rPr>
      </w:pPr>
    </w:p>
    <w:p>
      <w:pPr>
        <w:ind w:right="680" w:firstLine="624"/>
        <w:spacing w:after="0" w:line="277" w:lineRule="auto"/>
        <w:rPr>
          <w:sz w:val="20"/>
          <w:szCs w:val="20"/>
          <w:color w:val="auto"/>
        </w:rPr>
      </w:pPr>
      <w:r>
        <w:rPr>
          <w:rFonts w:ascii="Times New Roman" w:cs="Times New Roman" w:eastAsia="Times New Roman" w:hAnsi="Times New Roman"/>
          <w:sz w:val="17"/>
          <w:szCs w:val="17"/>
          <w:color w:val="auto"/>
        </w:rPr>
        <w:t>The following is a summary of consolidated revenues within geographic areas determined by the billing address of the customer for the periods presented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80" w:type="dxa"/>
            <w:vAlign w:val="bottom"/>
          </w:tcPr>
          <w:p>
            <w:pPr>
              <w:spacing w:after="0"/>
              <w:rPr>
                <w:sz w:val="19"/>
                <w:szCs w:val="19"/>
                <w:color w:val="auto"/>
              </w:rPr>
            </w:pPr>
          </w:p>
        </w:tc>
        <w:tc>
          <w:tcPr>
            <w:tcW w:w="3360" w:type="dxa"/>
            <w:vAlign w:val="bottom"/>
            <w:tcBorders>
              <w:bottom w:val="single" w:sz="8" w:color="auto"/>
            </w:tcBorders>
            <w:gridSpan w:val="5"/>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r>
      <w:tr>
        <w:trPr>
          <w:trHeight w:val="214"/>
        </w:trPr>
        <w:tc>
          <w:tcPr>
            <w:tcW w:w="78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4"/>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100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178,790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151,177</w:t>
            </w:r>
          </w:p>
        </w:tc>
      </w:tr>
      <w:tr>
        <w:trPr>
          <w:trHeight w:val="221"/>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EMEA</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61,410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47,957</w:t>
            </w:r>
          </w:p>
        </w:tc>
      </w:tr>
      <w:tr>
        <w:trPr>
          <w:trHeight w:val="221"/>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 of the World</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39,942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31,334</w:t>
            </w:r>
          </w:p>
        </w:tc>
      </w:tr>
      <w:tr>
        <w:trPr>
          <w:trHeight w:val="214"/>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100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280,142</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230,468</w:t>
            </w:r>
          </w:p>
        </w:tc>
      </w:tr>
      <w:tr>
        <w:trPr>
          <w:trHeight w:val="20"/>
        </w:trPr>
        <w:tc>
          <w:tcPr>
            <w:tcW w:w="78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 single country other than the United States represented more than 10% of the Company's revenue.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Employee Benefit Plans</w:t>
      </w:r>
    </w:p>
    <w:p>
      <w:pPr>
        <w:spacing w:after="0" w:line="22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The Company has established a defined contribution savings plan under Section 401(k) of the Internal Revenue Code of 1986 (the “401(k) Plan”). The 401(k) Plan covers substantially all employees who meet minimum age and service requirements and allows participants to defer a percentage of their annual compensation as defined in the 401(k) Plan. The Company matches portions of employees’ voluntary contributions. Additional employer contributions may also be made at the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Company’s discretion. The Company recorded expense of $2.5 million and $2.2 million for the three months ended April 30, 2026 and 2025, respectively, for matching contributions to the 401(k) Plan.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SPECIAL NOTE ABOUT FORWARD-LOOKING STATEMENTS</w:t>
      </w:r>
    </w:p>
    <w:p>
      <w:pPr>
        <w:spacing w:after="0" w:line="118" w:lineRule="exact"/>
        <w:rPr>
          <w:sz w:val="20"/>
          <w:szCs w:val="20"/>
          <w:color w:val="auto"/>
        </w:rPr>
      </w:pPr>
    </w:p>
    <w:p>
      <w:pPr>
        <w:jc w:val="both"/>
        <w:ind w:firstLine="780"/>
        <w:spacing w:after="0" w:line="260" w:lineRule="auto"/>
        <w:rPr>
          <w:sz w:val="20"/>
          <w:szCs w:val="20"/>
          <w:color w:val="auto"/>
        </w:rPr>
      </w:pPr>
      <w:r>
        <w:rPr>
          <w:rFonts w:ascii="Times New Roman" w:cs="Times New Roman" w:eastAsia="Times New Roman" w:hAnsi="Times New Roman"/>
          <w:sz w:val="17"/>
          <w:szCs w:val="17"/>
          <w:color w:val="auto"/>
        </w:rPr>
        <w:t>This Quarterly Report on Form 10-Q (this “Quarterly Report”) contains forward-looking statements within the meaning of, and we intend such forward-looking statements to be covered by, the safe harbor provisions of the Private Securities Litigation Reform Act of 1995. You can identify forward-looking statements by the fact that they do not relate strictly to historical or current facts, and these statements may include words such as “anticipate,” “estimate,” “expect,” “project,” “plan,” “intend,” “believe,” “may,” “will,” “should,” “can have,” “likely,” and other words and terms of similar meaning. For example, all statements we make relating to our estimated and projected costs, expenditures, cash flows, growth rates, and financial results or our plans and objectives for future operations, growth initiatives, or strategies are forward-looking statements. Statements regarding the development, release, and timing of any features or functionality described for our products that are not currently available are also forward-looking statements; the development, release, and timing of any such features or functionality remain at our sole discretion on a when, and if available, basis and may not be delivered at all.</w:t>
      </w:r>
    </w:p>
    <w:p>
      <w:pPr>
        <w:spacing w:after="0" w:line="73" w:lineRule="exact"/>
        <w:rPr>
          <w:sz w:val="20"/>
          <w:szCs w:val="20"/>
          <w:color w:val="auto"/>
        </w:rPr>
      </w:pPr>
    </w:p>
    <w:p>
      <w:pPr>
        <w:jc w:val="both"/>
        <w:ind w:firstLine="780"/>
        <w:spacing w:after="0" w:line="264" w:lineRule="auto"/>
        <w:rPr>
          <w:sz w:val="20"/>
          <w:szCs w:val="20"/>
          <w:color w:val="auto"/>
        </w:rPr>
      </w:pPr>
      <w:r>
        <w:rPr>
          <w:rFonts w:ascii="Times New Roman" w:cs="Times New Roman" w:eastAsia="Times New Roman" w:hAnsi="Times New Roman"/>
          <w:sz w:val="17"/>
          <w:szCs w:val="17"/>
          <w:color w:val="auto"/>
        </w:rPr>
        <w:t>Because forward-looking statements relate to the future, they involve substantial risks and uncertainties, and you should not rely upon forward-looking statements as predictions of future events or place undue reliance thereon. 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Important factors that could cause actual results to differ materially from our expectations include the following:</w:t>
      </w:r>
    </w:p>
    <w:p>
      <w:pPr>
        <w:spacing w:after="0" w:line="68" w:lineRule="exact"/>
        <w:rPr>
          <w:sz w:val="20"/>
          <w:szCs w:val="20"/>
          <w:color w:val="auto"/>
        </w:rPr>
      </w:pPr>
    </w:p>
    <w:p>
      <w:pPr>
        <w:ind w:left="620" w:hanging="304"/>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sustain historical growth rates;</w:t>
      </w:r>
    </w:p>
    <w:p>
      <w:pPr>
        <w:spacing w:after="0" w:line="11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customers and to deepen our relationships with existing customers;</w:t>
      </w:r>
    </w:p>
    <w:p>
      <w:pPr>
        <w:spacing w:after="0" w:line="11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growth in the market for identity security solutions;</w:t>
      </w:r>
    </w:p>
    <w:p>
      <w:pPr>
        <w:spacing w:after="0" w:line="11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successful relationships with our channel partners;</w:t>
      </w:r>
    </w:p>
    <w:p>
      <w:pPr>
        <w:spacing w:after="0" w:line="11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length and unpredictable nature of our sales cycle;</w:t>
      </w:r>
    </w:p>
    <w:p>
      <w:pPr>
        <w:spacing w:after="0" w:line="11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successfully against current and future competitors;</w:t>
      </w:r>
    </w:p>
    <w:p>
      <w:pPr>
        <w:spacing w:after="0" w:line="11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increasing complexity of our operations;</w:t>
      </w:r>
    </w:p>
    <w:p>
      <w:pPr>
        <w:spacing w:after="0" w:line="11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and enhance our brand or reputation as an industry leader and innovator;</w:t>
      </w:r>
    </w:p>
    <w:p>
      <w:pPr>
        <w:spacing w:after="0" w:line="11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conditions in our industry or the global economy;</w:t>
      </w:r>
    </w:p>
    <w:p>
      <w:pPr>
        <w:spacing w:after="0" w:line="11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estimated market opportunity and forecasts of our market and market growth may prove to be inaccurate;</w:t>
      </w:r>
    </w:p>
    <w:p>
      <w:pPr>
        <w:spacing w:after="0" w:line="11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hire, retain, train, and motivate our personnel and our ability to maintain our corporate culture;</w:t>
      </w:r>
    </w:p>
    <w:p>
      <w:pPr>
        <w:spacing w:after="0" w:line="11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introduce, use, and integrate artificial intelligence ("AI") with our solutions;</w:t>
      </w:r>
    </w:p>
    <w:p>
      <w:pPr>
        <w:spacing w:after="0" w:line="11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breaches in our security, cyber attacks, or other cyber risks;</w:t>
      </w:r>
    </w:p>
    <w:p>
      <w:pPr>
        <w:spacing w:after="0" w:line="116" w:lineRule="exact"/>
        <w:rPr>
          <w:rFonts w:ascii="Times New Roman" w:cs="Times New Roman" w:eastAsia="Times New Roman" w:hAnsi="Times New Roman"/>
          <w:sz w:val="17"/>
          <w:szCs w:val="17"/>
          <w:color w:val="auto"/>
        </w:rPr>
      </w:pPr>
    </w:p>
    <w:p>
      <w:pPr>
        <w:ind w:left="620" w:right="240" w:hanging="304"/>
        <w:spacing w:after="0" w:line="293"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outages, or other disruptions affecting the delivery of our SaaS solution or any of the third-party cloud-based systems that we use in our operations;</w:t>
      </w:r>
    </w:p>
    <w:p>
      <w:pPr>
        <w:spacing w:after="0" w:line="4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adapt and respond to rapidly changing technology, industry standards, regulations, or customer needs, requirements, or preferences;</w:t>
      </w:r>
    </w:p>
    <w:p>
      <w:pPr>
        <w:spacing w:after="0" w:line="11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 or perceived errors, failures, or disruptions in our platform or solutions;</w:t>
      </w:r>
    </w:p>
    <w:p>
      <w:pPr>
        <w:spacing w:after="0" w:line="11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platform and solutions to effectively interoperate with our customers’ existing or future information technology ("IT") infrastructures;</w:t>
      </w:r>
    </w:p>
    <w:p>
      <w:pPr>
        <w:spacing w:after="0" w:line="11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our privacy policy or related legal or regulatory requirements;</w:t>
      </w:r>
    </w:p>
    <w:p>
      <w:pPr>
        <w:spacing w:after="0" w:line="11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various tax laws and regulations, including our failure to comply therewith; and</w:t>
      </w:r>
    </w:p>
    <w:p>
      <w:pPr>
        <w:spacing w:after="0" w:line="11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disclosed in the section titled “Risk Factors” in Part I, Item 1A of our fiscal 2026 Form 10-K.</w:t>
      </w:r>
    </w:p>
    <w:p>
      <w:pPr>
        <w:spacing w:after="0" w:line="116" w:lineRule="exact"/>
        <w:rPr>
          <w:sz w:val="20"/>
          <w:szCs w:val="20"/>
          <w:color w:val="auto"/>
        </w:rPr>
      </w:pPr>
    </w:p>
    <w:p>
      <w:pPr>
        <w:jc w:val="both"/>
        <w:ind w:firstLine="780"/>
        <w:spacing w:after="0" w:line="267" w:lineRule="auto"/>
        <w:rPr>
          <w:sz w:val="20"/>
          <w:szCs w:val="20"/>
          <w:color w:val="auto"/>
        </w:rPr>
      </w:pPr>
      <w:r>
        <w:rPr>
          <w:rFonts w:ascii="Times New Roman" w:cs="Times New Roman" w:eastAsia="Times New Roman" w:hAnsi="Times New Roman"/>
          <w:sz w:val="17"/>
          <w:szCs w:val="17"/>
          <w:color w:val="auto"/>
        </w:rPr>
        <w:t>Any forward-looking statements made by us are based only on information available to us as of the date on which such statements are made and speak only as of such date. We undertake no obligation to update any forward-looking statements made in this Quarterly Report to reflect events or circumstances after such date or to reflect new information or the occurrence of unanticipated events, except as required by law.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780"/>
        <w:spacing w:after="0" w:line="293" w:lineRule="auto"/>
        <w:rPr>
          <w:sz w:val="20"/>
          <w:szCs w:val="20"/>
          <w:color w:val="auto"/>
        </w:rPr>
      </w:pPr>
      <w:r>
        <w:rPr>
          <w:rFonts w:ascii="Times New Roman" w:cs="Times New Roman" w:eastAsia="Times New Roman" w:hAnsi="Times New Roman"/>
          <w:sz w:val="17"/>
          <w:szCs w:val="17"/>
          <w:color w:val="auto"/>
        </w:rPr>
        <w:t>All written and oral forward-looking statements attributable to us, or persons acting on our behalf, are expressly qualified in their entirety by these cautionary statements as well as other cautionary statements that are made from time to time in our other filings with the SEC and other public communications.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18"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The following discussion and analysis of our financial condition and results of operations should be read in conjunction with our condensed consolidated financial statements and related notes included elsewhere in this Quarterly Report.</w:t>
      </w:r>
    </w:p>
    <w:p>
      <w:pPr>
        <w:spacing w:after="0" w:line="4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Our fiscal year end is January 31, and our fiscal quarters end on April 30, July 31, October 31, and January 31. Our fiscal years ended January 31, 2027 and January 31, 2026 are referred to herein as "fiscal 2027" and "fiscal 2026,"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8"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We deliver solutions to enable adaptive identity security for the enterprise. We do this via the SailPoint Platform that unifies identity data across systems and identity types, including employee identities, non-employee identities, machine identities, and AI agents for real-time governance. Our SaaS and customer-hosted offerings leverage intelligent analytics to provide organizations with critical visibility into which identities currently have access to which resources, which identities should have access to those resources, and how that access is being used. Our solutions enable organizations to establish, control, and automate policies that help them define and maintain a robust security posture and achieve regulatory compliance. Powered by AI, our solutions enable organizations to overcome the scale and complexity of managing identities in real-time across dynamic, complex IT environments. Our solutions empower organizations to maintain a robust security posture and achieve regulatory compliance. Today, we offer a range of solutions to meet the varied needs of our customers across a broad set of deployment options including: Identity Security Cloud, our SaaS-based cloud solution built on our unified SailPoint Platform, and IdentityIQ, our customer-hosted identity security solution. These solutions are designed to enable our customers to make more effective decisions regarding access, improve security processes, and provide them with a deeper understanding of identity and access.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 Launch of SailPoint Agentic Fabric</w:t>
      </w:r>
    </w:p>
    <w:p>
      <w:pPr>
        <w:spacing w:after="0" w:line="235" w:lineRule="exact"/>
        <w:rPr>
          <w:sz w:val="20"/>
          <w:szCs w:val="20"/>
          <w:color w:val="auto"/>
        </w:rPr>
      </w:pPr>
    </w:p>
    <w:p>
      <w:pPr>
        <w:jc w:val="both"/>
        <w:ind w:firstLine="624"/>
        <w:spacing w:after="0" w:line="251" w:lineRule="auto"/>
        <w:rPr>
          <w:sz w:val="20"/>
          <w:szCs w:val="20"/>
          <w:color w:val="auto"/>
        </w:rPr>
      </w:pPr>
      <w:r>
        <w:rPr>
          <w:rFonts w:ascii="Times New Roman" w:cs="Times New Roman" w:eastAsia="Times New Roman" w:hAnsi="Times New Roman"/>
          <w:sz w:val="17"/>
          <w:szCs w:val="17"/>
          <w:color w:val="auto"/>
        </w:rPr>
        <w:t>In May 2026, we announced the launch of SailPoint Agentic Fabric, a new solution designed to address one of the fastest-growing challenges in enterprise security: securing AI agents and other non-human identities at scale. AI agents and other non-human identities now vastly outnumber human identities at many organizations. We see this shift happening on our own platform—non-human identities accounted for approximately 40% of our identity growth during the three months ended April 30, 2026.</w:t>
      </w:r>
    </w:p>
    <w:p>
      <w:pPr>
        <w:spacing w:after="0" w:line="66" w:lineRule="exact"/>
        <w:rPr>
          <w:sz w:val="20"/>
          <w:szCs w:val="20"/>
          <w:color w:val="auto"/>
        </w:rPr>
      </w:pPr>
    </w:p>
    <w:p>
      <w:pPr>
        <w:jc w:val="both"/>
        <w:ind w:firstLine="624"/>
        <w:spacing w:after="0" w:line="250" w:lineRule="auto"/>
        <w:rPr>
          <w:sz w:val="20"/>
          <w:szCs w:val="20"/>
          <w:color w:val="auto"/>
        </w:rPr>
      </w:pPr>
      <w:r>
        <w:rPr>
          <w:rFonts w:ascii="Times New Roman" w:cs="Times New Roman" w:eastAsia="Times New Roman" w:hAnsi="Times New Roman"/>
          <w:sz w:val="17"/>
          <w:szCs w:val="17"/>
          <w:color w:val="auto"/>
        </w:rPr>
        <w:t>The rapid growth of non-human identities has created a critical new risk profile. Autonomous agents can make independent decisions, execute code, and access highly sensitive data at machine speed. Because they are often spun up outside of traditional IT purview, they can operate with excessive, unmanaged privileges. Consequently, the blast radius of a compromised agent can be extensive.</w:t>
      </w:r>
    </w:p>
    <w:p>
      <w:pPr>
        <w:spacing w:after="0" w:line="65" w:lineRule="exact"/>
        <w:rPr>
          <w:sz w:val="20"/>
          <w:szCs w:val="20"/>
          <w:color w:val="auto"/>
        </w:rPr>
      </w:pPr>
    </w:p>
    <w:p>
      <w:pPr>
        <w:jc w:val="both"/>
        <w:ind w:firstLine="624"/>
        <w:spacing w:after="0" w:line="245" w:lineRule="auto"/>
        <w:rPr>
          <w:sz w:val="20"/>
          <w:szCs w:val="20"/>
          <w:color w:val="auto"/>
        </w:rPr>
      </w:pPr>
      <w:r>
        <w:rPr>
          <w:rFonts w:ascii="Times New Roman" w:cs="Times New Roman" w:eastAsia="Times New Roman" w:hAnsi="Times New Roman"/>
          <w:sz w:val="17"/>
          <w:szCs w:val="17"/>
          <w:color w:val="auto"/>
        </w:rPr>
        <w:t>Agentic Fabric is designed to address this identity challenge and extend our Identity Security Cloud model to provide agentic governance and protection, helping organizations to manage and secure every identity type—human or non-human—across the enterprise. By combining discovery, visibility, governance, authorization, and protection in a unified platform, SailPoint can help organizations maintain control over security, compliance, and accountability as they accelerate AI adoption. Agentic Fabric’s identity-centric approach is designed to connect identities, access, and activity, giving organizations the context needed to understand what AI agents can access, who is responsible for them, and how to govern them at scale. We believe Agentic Fabric represents a meaningful, incremental go-to-market opportunity for us and will enable us to capitalize on the rapid growth of non-human identities. We have begun to experience accelerating demand across our AI and machine identity portfolio and expect our agentic pipeline to continue to grow.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Model</w:t>
      </w:r>
    </w:p>
    <w:p>
      <w:pPr>
        <w:spacing w:after="0" w:line="248" w:lineRule="exact"/>
        <w:rPr>
          <w:sz w:val="20"/>
          <w:szCs w:val="20"/>
          <w:color w:val="auto"/>
        </w:rPr>
      </w:pPr>
    </w:p>
    <w:p>
      <w:pPr>
        <w:ind w:right="840" w:firstLine="624"/>
        <w:spacing w:after="0" w:line="293" w:lineRule="auto"/>
        <w:rPr>
          <w:sz w:val="20"/>
          <w:szCs w:val="20"/>
          <w:color w:val="auto"/>
        </w:rPr>
      </w:pPr>
      <w:r>
        <w:rPr>
          <w:rFonts w:ascii="Times New Roman" w:cs="Times New Roman" w:eastAsia="Times New Roman" w:hAnsi="Times New Roman"/>
          <w:sz w:val="17"/>
          <w:szCs w:val="17"/>
          <w:color w:val="auto"/>
        </w:rPr>
        <w:t>Our customers include many of the world’s largest and most complex organizations, including large enterprises across all major verticals and governments. The approximate number of customers at each annual recurring revenue ("ARR") level are as follows: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5"/>
        </w:trPr>
        <w:tc>
          <w:tcPr>
            <w:tcW w:w="91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838"/>
        </w:trPr>
        <w:tc>
          <w:tcPr>
            <w:tcW w:w="620" w:type="dxa"/>
            <w:vAlign w:val="bottom"/>
            <w:tcBorders>
              <w:top w:val="single" w:sz="8" w:color="0000FF"/>
            </w:tcBorders>
          </w:tcPr>
          <w:p>
            <w:pPr>
              <w:spacing w:after="0"/>
              <w:rPr>
                <w:sz w:val="24"/>
                <w:szCs w:val="24"/>
                <w:color w:val="auto"/>
              </w:rPr>
            </w:pPr>
          </w:p>
        </w:tc>
        <w:tc>
          <w:tcPr>
            <w:tcW w:w="620" w:type="dxa"/>
            <w:vAlign w:val="bottom"/>
            <w:tcBorders>
              <w:top w:val="single" w:sz="8" w:color="0000FF"/>
              <w:bottom w:val="single" w:sz="8" w:color="CCEEFF"/>
            </w:tcBorders>
          </w:tcPr>
          <w:p>
            <w:pPr>
              <w:spacing w:after="0"/>
              <w:rPr>
                <w:sz w:val="24"/>
                <w:szCs w:val="24"/>
                <w:color w:val="auto"/>
              </w:rPr>
            </w:pPr>
          </w:p>
        </w:tc>
        <w:tc>
          <w:tcPr>
            <w:tcW w:w="626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7"/>
                <w:szCs w:val="17"/>
                <w:b w:val="1"/>
                <w:bCs w:val="1"/>
                <w:color w:val="auto"/>
              </w:rPr>
              <w:t>April 30, 2026</w:t>
            </w: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7"/>
                <w:szCs w:val="17"/>
                <w:b w:val="1"/>
                <w:bCs w:val="1"/>
                <w:color w:val="auto"/>
              </w:rPr>
              <w:t>April 30, 2025</w:t>
            </w:r>
          </w:p>
        </w:tc>
      </w:tr>
      <w:tr>
        <w:trPr>
          <w:trHeight w:val="214"/>
        </w:trPr>
        <w:tc>
          <w:tcPr>
            <w:tcW w:w="620" w:type="dxa"/>
            <w:vAlign w:val="bottom"/>
          </w:tcPr>
          <w:p>
            <w:pPr>
              <w:spacing w:after="0"/>
              <w:rPr>
                <w:sz w:val="18"/>
                <w:szCs w:val="18"/>
                <w:color w:val="auto"/>
              </w:rPr>
            </w:pPr>
          </w:p>
        </w:tc>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Customers</w:t>
            </w:r>
          </w:p>
        </w:tc>
        <w:tc>
          <w:tcPr>
            <w:tcW w:w="16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3,250</w:t>
            </w: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21"/>
        </w:trPr>
        <w:tc>
          <w:tcPr>
            <w:tcW w:w="620" w:type="dxa"/>
            <w:vAlign w:val="bottom"/>
          </w:tcPr>
          <w:p>
            <w:pPr>
              <w:spacing w:after="0"/>
              <w:rPr>
                <w:sz w:val="19"/>
                <w:szCs w:val="19"/>
                <w:color w:val="auto"/>
              </w:rPr>
            </w:pPr>
          </w:p>
        </w:tc>
        <w:tc>
          <w:tcPr>
            <w:tcW w:w="85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Customers less than $250,000 in ARR</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1,980</w:t>
            </w: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1"/>
        </w:trPr>
        <w:tc>
          <w:tcPr>
            <w:tcW w:w="620" w:type="dxa"/>
            <w:vAlign w:val="bottom"/>
          </w:tcPr>
          <w:p>
            <w:pPr>
              <w:spacing w:after="0"/>
              <w:rPr>
                <w:sz w:val="19"/>
                <w:szCs w:val="19"/>
                <w:color w:val="auto"/>
              </w:rPr>
            </w:pPr>
          </w:p>
        </w:tc>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Customers greater than $250,000 in ARR</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6"/>
        </w:trPr>
        <w:tc>
          <w:tcPr>
            <w:tcW w:w="620" w:type="dxa"/>
            <w:vAlign w:val="bottom"/>
          </w:tcPr>
          <w:p>
            <w:pPr>
              <w:spacing w:after="0"/>
              <w:rPr>
                <w:sz w:val="19"/>
                <w:szCs w:val="19"/>
                <w:color w:val="auto"/>
              </w:rPr>
            </w:pPr>
          </w:p>
        </w:tc>
        <w:tc>
          <w:tcPr>
            <w:tcW w:w="85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Customers greater than $1,000,000 in ARR</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301" w:lineRule="exact"/>
        <w:rPr>
          <w:sz w:val="20"/>
          <w:szCs w:val="20"/>
          <w:color w:val="auto"/>
        </w:rPr>
      </w:pPr>
    </w:p>
    <w:p>
      <w:pPr>
        <w:jc w:val="both"/>
        <w:ind w:right="100" w:firstLine="624"/>
        <w:spacing w:after="0" w:line="293" w:lineRule="auto"/>
        <w:rPr>
          <w:sz w:val="20"/>
          <w:szCs w:val="20"/>
          <w:color w:val="auto"/>
        </w:rPr>
      </w:pPr>
      <w:r>
        <w:rPr>
          <w:rFonts w:ascii="Times New Roman" w:cs="Times New Roman" w:eastAsia="Times New Roman" w:hAnsi="Times New Roman"/>
          <w:sz w:val="17"/>
          <w:szCs w:val="17"/>
          <w:color w:val="auto"/>
        </w:rPr>
        <w:t>The number of customers with $250,000 or more of ARR as of April 30, 2026 increased 24% on a year-over-year basis, and the number of customers with over $1,000,000 of ARR as of April 30, 2026 increased 32% on a year-over-year basis.</w:t>
      </w:r>
    </w:p>
    <w:p>
      <w:pPr>
        <w:spacing w:after="0" w:line="172" w:lineRule="exact"/>
        <w:rPr>
          <w:sz w:val="20"/>
          <w:szCs w:val="20"/>
          <w:color w:val="auto"/>
        </w:rPr>
      </w:pPr>
    </w:p>
    <w:p>
      <w:pPr>
        <w:jc w:val="both"/>
        <w:ind w:right="100" w:firstLine="624"/>
        <w:spacing w:after="0" w:line="293" w:lineRule="auto"/>
        <w:rPr>
          <w:sz w:val="20"/>
          <w:szCs w:val="20"/>
          <w:color w:val="auto"/>
        </w:rPr>
      </w:pPr>
      <w:r>
        <w:rPr>
          <w:rFonts w:ascii="Times New Roman" w:cs="Times New Roman" w:eastAsia="Times New Roman" w:hAnsi="Times New Roman"/>
          <w:sz w:val="17"/>
          <w:szCs w:val="17"/>
          <w:color w:val="auto"/>
        </w:rPr>
        <w:t>For Identity Security Cloud, our SaaS-based cloud solution, and IdentityIQ, our customer-hosted solution, our customers typically enter into three-year contracts, with annual billing upfront.</w:t>
      </w:r>
    </w:p>
    <w:p>
      <w:pPr>
        <w:spacing w:after="0" w:line="172" w:lineRule="exact"/>
        <w:rPr>
          <w:sz w:val="20"/>
          <w:szCs w:val="20"/>
          <w:color w:val="auto"/>
        </w:rPr>
      </w:pPr>
    </w:p>
    <w:p>
      <w:pPr>
        <w:jc w:val="both"/>
        <w:ind w:right="100" w:firstLine="624"/>
        <w:spacing w:after="0" w:line="274" w:lineRule="auto"/>
        <w:rPr>
          <w:sz w:val="20"/>
          <w:szCs w:val="20"/>
          <w:color w:val="auto"/>
        </w:rPr>
      </w:pPr>
      <w:r>
        <w:rPr>
          <w:rFonts w:ascii="Times New Roman" w:cs="Times New Roman" w:eastAsia="Times New Roman" w:hAnsi="Times New Roman"/>
          <w:sz w:val="17"/>
          <w:szCs w:val="17"/>
          <w:color w:val="auto"/>
        </w:rPr>
        <w:t>For Identity Security Cloud, our pricing is tiered and based on the suite, with the option for the customer to purchase additional products and capabilities a-la-carte. We price our IdentityIQ term subscriptions based on a number of factors, including the number of digital identities governed with the solution. Customers also have the option to purchase additional products and capabilities.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Factors Affecting Our Performance</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historical financial performance has been, and we expect our financial performance in the future to be, driven by our ability to:</w:t>
      </w:r>
    </w:p>
    <w:p>
      <w:pPr>
        <w:spacing w:after="0" w:line="112" w:lineRule="exact"/>
        <w:rPr>
          <w:sz w:val="20"/>
          <w:szCs w:val="20"/>
          <w:color w:val="auto"/>
        </w:rPr>
      </w:pPr>
    </w:p>
    <w:p>
      <w:pPr>
        <w:jc w:val="both"/>
        <w:ind w:right="100" w:firstLine="624"/>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Add New Customers within Existing Markets</w:t>
      </w:r>
      <w:r>
        <w:rPr>
          <w:rFonts w:ascii="Times New Roman" w:cs="Times New Roman" w:eastAsia="Times New Roman" w:hAnsi="Times New Roman"/>
          <w:sz w:val="17"/>
          <w:szCs w:val="17"/>
          <w:color w:val="auto"/>
        </w:rPr>
        <w:t>. Countless organizations still use a combination of legacy solutions and home-grown tools. Furthermore,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estimate that over 60% of organizations in our target market still have a fragmented identity experience or use a mostly manual process based on our internal research. As a result, we believe that there is a significant opportunity for us to accelerate the growth of our customer base by enhancing our marketing efforts, increasing our sales capacity and productivity, and expanding and further leveraging our use of channel partners, including managed service providers. Our ability to attract new customers depends on a number of factors, including the effectiveness and pricing of our solutions, our ability to drive awareness of them, and the offerings of our competitors.</w:t>
      </w:r>
    </w:p>
    <w:p>
      <w:pPr>
        <w:spacing w:after="0" w:line="196" w:lineRule="exact"/>
        <w:rPr>
          <w:sz w:val="20"/>
          <w:szCs w:val="20"/>
          <w:color w:val="auto"/>
        </w:rPr>
      </w:pPr>
    </w:p>
    <w:p>
      <w:pPr>
        <w:jc w:val="both"/>
        <w:ind w:right="100" w:firstLine="624"/>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Generate Additional Sales to Existing Customers. </w:t>
      </w:r>
      <w:r>
        <w:rPr>
          <w:rFonts w:ascii="Times New Roman" w:cs="Times New Roman" w:eastAsia="Times New Roman" w:hAnsi="Times New Roman"/>
          <w:sz w:val="17"/>
          <w:szCs w:val="17"/>
          <w:color w:val="auto"/>
        </w:rPr>
        <w:t>We believe that our existing customer base provides us with a significant opportunity to expand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incremental sales. Most new customers initially purchase one of our SaaS suites (Standard, Business, or Business Plus). We focus on expanding our customer relationships over time through up-selling and cross-selling opportunities, including suite upgrades and additional products. Additionally, we are focused on continuing to migrate customers of our customer-hosted solution to our SaaS suites, which typically results in increased ARR because of the additional functionality that our SaaS suites offer. Our ability to increase sales to existing customers will depend on a number of factors, including our customers’ satisfaction with our products, competition, pricing, and overall changes in our customers’ spending levels.</w:t>
      </w:r>
    </w:p>
    <w:p>
      <w:pPr>
        <w:spacing w:after="0" w:line="196" w:lineRule="exact"/>
        <w:rPr>
          <w:sz w:val="20"/>
          <w:szCs w:val="20"/>
          <w:color w:val="auto"/>
        </w:rPr>
      </w:pPr>
    </w:p>
    <w:p>
      <w:pPr>
        <w:jc w:val="both"/>
        <w:ind w:right="100" w:firstLine="624"/>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Increase Share of Revenue Derived from SaaS. </w:t>
      </w:r>
      <w:r>
        <w:rPr>
          <w:rFonts w:ascii="Times New Roman" w:cs="Times New Roman" w:eastAsia="Times New Roman" w:hAnsi="Times New Roman"/>
          <w:sz w:val="17"/>
          <w:szCs w:val="17"/>
          <w:color w:val="auto"/>
        </w:rPr>
        <w:t>Our go-to-market motion is focused primarily on Identity Security Cloud, our SaaS offering. While we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expect that an increase in SaaS contracts will drive growth in ARR, it is also expected to have a near term negative impact on revenue growth, driven by differences in revenue recognition policies between SaaS subscriptions and term subscriptions, and gross margins, as we incur hosting costs for our SaaS offering. Our ability to increase our revenue from SaaS subscriptions will depend on a number of factors, including our customers’ specific circumstances, some of which necessitate their preference for our customer-hosted identity governance solution, IdentityIQ.</w:t>
      </w:r>
    </w:p>
    <w:p>
      <w:pPr>
        <w:spacing w:after="0" w:line="181" w:lineRule="exact"/>
        <w:rPr>
          <w:sz w:val="20"/>
          <w:szCs w:val="20"/>
          <w:color w:val="auto"/>
        </w:rPr>
      </w:pPr>
    </w:p>
    <w:p>
      <w:pPr>
        <w:jc w:val="both"/>
        <w:ind w:right="100" w:firstLine="624"/>
        <w:spacing w:after="0" w:line="243"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Deepen our Penetration in International Markets. </w:t>
      </w:r>
      <w:r>
        <w:rPr>
          <w:rFonts w:ascii="Times New Roman" w:cs="Times New Roman" w:eastAsia="Times New Roman" w:hAnsi="Times New Roman"/>
          <w:sz w:val="17"/>
          <w:szCs w:val="17"/>
          <w:color w:val="auto"/>
        </w:rPr>
        <w:t>We expect to continue to invest in our sales and marketing efforts and channel partner network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expand our reach and deepen our presence in existing geographies and to expand into new geographies. We believe that our global market opportunity is large and growing in response to the evolving IT and threat landscapes. For the three months ended April 30, 2026, we generated 64% of our revenue from the United States, 22% from Europe, the Middle East and Africa (“EMEA”), and 14% from the rest of the world. For the three months ended April 30, 2025, we generated 66% of our revenue from the United States, 21% from EMEA, and 14% from the rest of the world, billed primarily in U.S. dollars. Our ability to deepen our penetration in international markets will depend on a number of factors, including the competitiveness of our solutions, the efficacy of our channel partner network, and our sales and marketing efforts.</w:t>
      </w:r>
    </w:p>
    <w:p>
      <w:pPr>
        <w:spacing w:after="0" w:line="213" w:lineRule="exact"/>
        <w:rPr>
          <w:sz w:val="20"/>
          <w:szCs w:val="20"/>
          <w:color w:val="auto"/>
        </w:rPr>
      </w:pPr>
    </w:p>
    <w:p>
      <w:pPr>
        <w:ind w:right="100" w:firstLine="624"/>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 xml:space="preserve">Sustain Technology Leadership Through Extending Identity Security Portfolio. </w:t>
      </w:r>
      <w:r>
        <w:rPr>
          <w:rFonts w:ascii="Times New Roman" w:cs="Times New Roman" w:eastAsia="Times New Roman" w:hAnsi="Times New Roman"/>
          <w:sz w:val="17"/>
          <w:szCs w:val="17"/>
          <w:color w:val="auto"/>
        </w:rPr>
        <w:t>We recently launched new offerings in agentic security, non-employee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risk management, data access security, access risk management, and cloud infrastructure</w:t>
      </w:r>
    </w:p>
    <w:p>
      <w:pPr>
        <w:spacing w:after="0" w:line="200" w:lineRule="exact"/>
        <w:rPr>
          <w:sz w:val="20"/>
          <w:szCs w:val="20"/>
          <w:color w:val="auto"/>
        </w:r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113"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entitlement management. We are thoughtfully investing in AI, both to increase the capabilities of our solutions, as well as to help our customers protect their organizations while adopting AI for their own use cases. We intend to continue investing to extend our position as the leader in identity security by developing or acquiring new products and technologies and extending our portfolio into additional identity security use cases. Our future success is dependent on our ability to successfully develop, identify, market, and sell existing and new products to both new and existing customers.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Affecting the Comparability of Our Results of Operations</w:t>
      </w:r>
    </w:p>
    <w:p>
      <w:pPr>
        <w:spacing w:after="0" w:line="248" w:lineRule="exact"/>
        <w:rPr>
          <w:sz w:val="20"/>
          <w:szCs w:val="20"/>
          <w:color w:val="auto"/>
        </w:rPr>
      </w:pPr>
    </w:p>
    <w:p>
      <w:pPr>
        <w:jc w:val="both"/>
        <w:ind w:firstLine="624"/>
        <w:spacing w:after="0" w:line="260" w:lineRule="auto"/>
        <w:rPr>
          <w:sz w:val="20"/>
          <w:szCs w:val="20"/>
          <w:color w:val="auto"/>
        </w:rPr>
      </w:pPr>
      <w:r>
        <w:rPr>
          <w:rFonts w:ascii="Times New Roman" w:cs="Times New Roman" w:eastAsia="Times New Roman" w:hAnsi="Times New Roman"/>
          <w:sz w:val="17"/>
          <w:szCs w:val="17"/>
          <w:color w:val="auto"/>
        </w:rPr>
        <w:t>Our historical results of operations may not be comparable from period to period or going forward. During fiscal year 2026, we incurred a significant increase in equity-based compensation expense due to the conversion and vesting of equity awards issued prior to the IPO as well as the issuance of equity awards to certain employees in connection with the IPO. On January 31, 2025, the Board approved modifications to accelerate the vesting of certain incentive units, EARs, and cash-settled awards subject to the pricing and closing of the IPO. Upon the IPO, the vested incentive units were considered redeemable. As a result of the modifications and the closing of the IPO during our fiscal year 2026, we recognized $113.8 million of equity-based compensation expense in the consolidated statement of operations, which was comprised of $61.5 million, $12.6 million, and $39.8 million of expense for the modified incentive units, EARs, and cash-settled awards, respectively, with no comparable activity in the current fiscal year. See Note 9 "Equity-Based Compensation" in the notes to our consolidated financial statements for additional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Impact of Current Economic Conditions</w:t>
      </w:r>
    </w:p>
    <w:p>
      <w:pPr>
        <w:spacing w:after="0" w:line="248"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Worldwide economic and political uncertainties and negative trends, including financial and credit market fluctuations, tariffs and increasing trade protectionism, changes in government spending levels, uncertainty in the banking sector, rising interest rates, inflation and other impacts from the macroeconomic environment have, and could continue to, adversely affect our business operations or financial results. As we continue to monitor the direct and indirect impacts of these circumstances, the broader implications of these macroeconomic and political events on our business, results of operations, and overall financial position remain uncertain. See the section titled "Risk Factors'' included under Part I, Item 1A of the fiscal 2026 Form 10-K for further discussion of the possible impact of these factors and other risks on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Business Metrics</w:t>
      </w:r>
    </w:p>
    <w:p>
      <w:pPr>
        <w:spacing w:after="0" w:line="248"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In addition to our financial information prepared in accordance with GAAP, we monitor the following key business metrics to help us measure and evaluate the effectiveness of our operations. Although we believe we have a reasonable basis for each of these metrics, we caution you that these metrics are based on a combination of assumptions that may prove to be inaccurate over time. Please see the section titled “Risk Factors” included under Part I, Item 1A of the fiscal 2026 Form 10-K for more information.</w:t>
      </w:r>
    </w:p>
    <w:p>
      <w:pPr>
        <w:spacing w:after="0" w:line="1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Annual Recurring Revenue</w:t>
      </w:r>
    </w:p>
    <w:p>
      <w:pPr>
        <w:spacing w:after="0" w:line="250"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We believe ARR is a key metric to measure our business performance because it measures our ability to generate sales with new customers and to maintain and expand spend with existing customers. The way we define ARR normalizes the impact of revenue recognition differences between SaaS contracts and term subscription agreements. In recent years, ARR has grown faster than revenue, as a greater share of incremental ARR (which we define as the increase in ARR from the prior period to current period) has been driven by SaaS contracts which have ratable revenue recognition compared to term subscription agreements where a portion of the contract value is recognized as revenue upfront.</w:t>
      </w:r>
    </w:p>
    <w:p>
      <w:pPr>
        <w:spacing w:after="0" w:line="198"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We define ARR as the annualized value of SaaS, maintenance, term subscription, and other subscription contracts as of the measurement date. To the extent that we are actively negotiating a renewal or new agreement with a customer after the expiration of a contract, we continue to include that contract’s annualized value in ARR until the customer notifies us that it is not renewing its contract. The amount included in our ARR calculation related to these contracts was less than 1% as of the dates shown in the ARR table below. We calculate ARR by dividing the active contract value by the number of days of the contract and then multiplying by 365. ARR should be viewed independently of revenue, as ARR is an operating metric and is not intended to be combined with or to replace revenue. ARR is not a forecast of future revenue, which can be impacted by ASC 606 allocations, and ARR does not consider other sources of revenue that are not recurring in nature.</w:t>
      </w:r>
    </w:p>
    <w:p>
      <w:pPr>
        <w:spacing w:after="0" w:line="201"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ARR does not have a standardized meaning and is not necessarily comparable to similarly titled measures presented by other companies. The following table presents our ARR as of the dates noted below (dollars in millions):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5"/>
        </w:trPr>
        <w:tc>
          <w:tcPr>
            <w:tcW w:w="8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838"/>
        </w:trPr>
        <w:tc>
          <w:tcPr>
            <w:tcW w:w="1240" w:type="dxa"/>
            <w:vAlign w:val="bottom"/>
            <w:tcBorders>
              <w:top w:val="single" w:sz="8" w:color="0000FF"/>
            </w:tcBorders>
          </w:tcPr>
          <w:p>
            <w:pPr>
              <w:spacing w:after="0"/>
              <w:rPr>
                <w:sz w:val="24"/>
                <w:szCs w:val="24"/>
                <w:color w:val="auto"/>
              </w:rPr>
            </w:pPr>
          </w:p>
        </w:tc>
        <w:tc>
          <w:tcPr>
            <w:tcW w:w="7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April 30, 2026</w:t>
            </w:r>
          </w:p>
        </w:tc>
        <w:tc>
          <w:tcPr>
            <w:tcW w:w="140" w:type="dxa"/>
            <w:vAlign w:val="bottom"/>
          </w:tcPr>
          <w:p>
            <w:pPr>
              <w:spacing w:after="0"/>
              <w:rPr>
                <w:sz w:val="24"/>
                <w:szCs w:val="24"/>
                <w:color w:val="auto"/>
              </w:rPr>
            </w:pP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April 30, 2025</w:t>
            </w:r>
          </w:p>
        </w:tc>
      </w:tr>
      <w:tr>
        <w:trPr>
          <w:trHeight w:val="214"/>
        </w:trPr>
        <w:tc>
          <w:tcPr>
            <w:tcW w:w="83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ARR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924.7</w:t>
            </w:r>
          </w:p>
        </w:tc>
      </w:tr>
    </w:tbl>
    <w:p>
      <w:pPr>
        <w:spacing w:after="0" w:line="3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SaaS Annual Recurring Revenue</w:t>
      </w:r>
    </w:p>
    <w:p>
      <w:pPr>
        <w:spacing w:after="0" w:line="250"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In recent years, we have transitioned our business to a SaaS-first subscription model. As a result of those efforts, the share of SaaS ARR to total ARR has increased to 67% as of April 30, 2026 from 62% as of April 30, 2025. We believe the share of ARR generated by our SaaS solution will continue to increase over time.</w:t>
      </w:r>
    </w:p>
    <w:p>
      <w:pPr>
        <w:spacing w:after="0" w:line="188"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We define SaaS ARR as the annualized value of SaaS contracts as of the measurement date. To the extent that we are actively negotiating a renewal or new agreement with a customer after the expiration of a contract, we continue to include that contract’s annualized value in SaaS ARR until the customer notifies us that it is not renewing its contract. The amount included in our ARR calculation related to these contracts was less than 1% as of the dates shown in the SaaS ARR table below. We calculate SaaS ARR by dividing the active SaaS contract value by the number of days of the contract and then multiplying by 365.</w:t>
      </w:r>
    </w:p>
    <w:p>
      <w:pPr>
        <w:spacing w:after="0" w:line="196" w:lineRule="exact"/>
        <w:rPr>
          <w:sz w:val="20"/>
          <w:szCs w:val="20"/>
          <w:color w:val="auto"/>
        </w:rPr>
      </w:pPr>
    </w:p>
    <w:p>
      <w:pPr>
        <w:jc w:val="both"/>
        <w:ind w:firstLine="624"/>
        <w:spacing w:after="0" w:line="271" w:lineRule="auto"/>
        <w:rPr>
          <w:sz w:val="20"/>
          <w:szCs w:val="20"/>
          <w:color w:val="auto"/>
        </w:rPr>
      </w:pPr>
      <w:r>
        <w:rPr>
          <w:rFonts w:ascii="Times New Roman" w:cs="Times New Roman" w:eastAsia="Times New Roman" w:hAnsi="Times New Roman"/>
          <w:sz w:val="17"/>
          <w:szCs w:val="17"/>
          <w:color w:val="auto"/>
        </w:rPr>
        <w:t>SaaS ARR should be viewed independently of subscription revenue as SaaS ARR is an operating metric and is not intended to be combined with or replace subscription revenue. SaaS ARR is not a forecast of future subscription revenue, which can be impacted by ASC 606 allocations and renewal rates and does not consider other sources of revenue that are not recurring in nature. The following table presents our SaaS ARR as of the dates noted below (dollars in millions):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April 30, 2026</w:t>
            </w:r>
          </w:p>
        </w:tc>
        <w:tc>
          <w:tcPr>
            <w:tcW w:w="140" w:type="dxa"/>
            <w:vAlign w:val="bottom"/>
          </w:tcPr>
          <w:p>
            <w:pPr>
              <w:spacing w:after="0"/>
              <w:rPr>
                <w:sz w:val="19"/>
                <w:szCs w:val="19"/>
                <w:color w:val="auto"/>
              </w:rPr>
            </w:pP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April 30, 2025</w:t>
            </w:r>
          </w:p>
        </w:tc>
      </w:tr>
      <w:tr>
        <w:trPr>
          <w:trHeight w:val="214"/>
        </w:trPr>
        <w:tc>
          <w:tcPr>
            <w:tcW w:w="8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SaaS ARR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573.5</w:t>
            </w:r>
          </w:p>
        </w:tc>
      </w:tr>
    </w:tbl>
    <w:p>
      <w:pPr>
        <w:spacing w:after="0" w:line="2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Dollar-Based Net Retention Rate</w:t>
      </w:r>
    </w:p>
    <w:p>
      <w:pPr>
        <w:spacing w:after="0" w:line="250"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Our dollar-based net retention rate has decreased to 113% as of April 30, 2026 from 115% as of April 30, 2025. We continue to focus on growing our product portfolio, increasing our SaaS mix, and expanding customer relationships over time through cross-selling and up-selling.</w:t>
      </w:r>
    </w:p>
    <w:p>
      <w:pPr>
        <w:spacing w:after="0" w:line="172"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We define dollar-based net retention rate as the comparison of our ARR from our subscription customers against the same metric for those subscription customers from the prior year. For the purposes of calculating our dollar-based net retention rate, we define a subscription customer as a separate legal entity that has entered into a distinct subscription agreement. Our dollar-based net retention rate reflects customer expansion, contraction, and churn. We calculate our dollar-based net retention rate as of period end by starting with the ARR from all subscription customers as of 12 months prior to such period end “prior period ARR”). We then calculate the ARR from these same subscription customers as of the current period end (“current period ARR”). We then divide the current period ARR by the prior period ARR to arrive at our dollar-based net retention rate. The dollar-based net retention rate at the end of any period is the weighted average of the dollar-based net retention rates as of the end of each of the trailing four quarters. The following table presents our dollar-based net retention rate as of the dates noted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60" w:type="dxa"/>
            <w:vAlign w:val="bottom"/>
          </w:tcPr>
          <w:p>
            <w:pPr>
              <w:spacing w:after="0"/>
              <w:rPr>
                <w:sz w:val="19"/>
                <w:szCs w:val="19"/>
                <w:color w:val="auto"/>
              </w:rPr>
            </w:pP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April 30, 2026</w:t>
            </w:r>
          </w:p>
        </w:tc>
        <w:tc>
          <w:tcPr>
            <w:tcW w:w="1540" w:type="dxa"/>
            <w:vAlign w:val="bottom"/>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April 30, 2025</w:t>
            </w:r>
          </w:p>
        </w:tc>
      </w:tr>
      <w:tr>
        <w:trPr>
          <w:trHeight w:val="214"/>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Dollar-based net retention rate</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113 %</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115 %</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Subscription Revenue</w:t>
      </w:r>
    </w:p>
    <w:p>
      <w:pPr>
        <w:spacing w:after="0" w:line="118"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The majority of our revenue relates to subscription revenue which consists of (i) fees for access to, and related support for, the SaaS offerings, (ii) fees for term subscriptions, (iii) fees for ongoing maintenance and support of perpetual license solutions, and (iv) other subscription services such as cloud managed services, and certain professional services. Term subscriptions include the term licenses and ongoing maintenance and support. Maintenance and support agreements consist of</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fees for providing software updates on a when and if available basis and for providing technical support for software products for a specified term.</w:t>
      </w:r>
    </w:p>
    <w:p>
      <w:pPr>
        <w:spacing w:after="0" w:line="168"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Subscription revenue, including support for term licenses, is recognized ratably over the term of the applicable agreement. Revenue related to term subscription performance obligations, excluding support for term subscriptions, is recognized upfront at the point in time when the customer has taken control of the software license.</w:t>
      </w:r>
    </w:p>
    <w:p>
      <w:pPr>
        <w:spacing w:after="0" w:line="110"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Over time, we expect subscription revenue will increase as a percentage of total revenue as we continue to focus on increasing our subscription revenue, specifically our SaaS offering, as a key strategic priority.</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Services and Other Revenue</w:t>
      </w:r>
    </w:p>
    <w:p>
      <w:pPr>
        <w:spacing w:after="0" w:line="22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Services and other revenue consist primarily of fees from professional services provided to customers and partners to configure and optimize the use of our solutions as well as non-subscription training services. Our professional services are structured on a time-and-materials or fixed priced basis, and the related revenue is recognized as the services are rendered.</w:t>
      </w:r>
    </w:p>
    <w:p>
      <w:pPr>
        <w:spacing w:after="0" w:line="110"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Services and other revenue also consists of revenues from perpetual license performance obligations and is recognized upfront at the point in time when the customer has taken control of the software license. All perpetual license transactions include maintenance and support performance obligations which are included in subscription revenue.</w:t>
      </w:r>
    </w:p>
    <w:p>
      <w:pPr>
        <w:spacing w:after="0" w:line="110"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Over time, we expect our professional services revenue as a percentage of total revenue to decrease as we increasingly rely on partners to help our customers deploy our software and we focus on increasing subscription revenue.</w:t>
      </w:r>
    </w:p>
    <w:p>
      <w:pPr>
        <w:spacing w:after="0" w:line="2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Cost of Subscription Revenue</w:t>
      </w:r>
    </w:p>
    <w:p>
      <w:pPr>
        <w:spacing w:after="0" w:line="118"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Cost of subscription revenue consists primarily of third-party cloud-based hosting costs, software, amortization expenses for developed technology acquired, amortization expense for capitalized software development costs, equity-based compensation, employee-related costs (which we define as salaries, benefits, bonuses, and allocated overhead) for providing subscriptions, third party royalties, facilities costs, and contractor costs to supplement staff levels. We expect third-party cloud-based hosting costs to increase as our SaaS subscriptions continue to grow.</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Cost of Services and Other Revenue</w:t>
      </w:r>
    </w:p>
    <w:p>
      <w:pPr>
        <w:spacing w:after="0" w:line="118"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Cost of services and other revenue consists primarily of (1) employee-related costs of professional services and training organizations, equity-based compensation, travel-related costs, facilities costs, and contractor costs to supplement staff levels; and (2) amortization expense for developed technology acquired and third-party royalties related to perpetual licenses.</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Gross Profit and Gross Profit Margin</w:t>
      </w:r>
    </w:p>
    <w:p>
      <w:pPr>
        <w:spacing w:after="0" w:line="118"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Gross profit is revenue less cost of revenue, and gross profit margin is gross profit as a percentage of total revenue. Gross profit has been and will continue to be affected by various factors, including the mix of our revenue, the costs associated with third-party cloud-based hosting services and software for our SaaS offering, and the extent to which we expand our customer support, professional services, and training organizations. We expect that our overall gross profit margin will fluctuate from period to period depending on the mix of these various factors.</w:t>
      </w:r>
    </w:p>
    <w:p>
      <w:pPr>
        <w:spacing w:after="0" w:line="2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118"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Research and development expenses consist primarily of employee-related costs, equity-based compensation, software and hosting arrangement expenses, facilities costs, professional services expense, and amortization expense for acquired intangible assets.</w:t>
      </w:r>
    </w:p>
    <w:p>
      <w:pPr>
        <w:spacing w:after="0" w:line="94"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We believe that continued investment in our offerings is vital to the growth of our business, and we intend to continue to invest in product development. We expect our research and development expenses to continue to increase on an absolute basis in the foreseeable future but to decrease as a percentage of revenue as our business grows.</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Sales and Marketing Expenses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Sales and marketing expenses consist primarily of employee-related costs (which includes commissions), equity-based compensation, costs for events and travel, facilities costs, costs of general marketing and promotional activities, payment processing fees, amortization expense for acquired intangible assets, and contract acquisition costs.</w:t>
      </w:r>
    </w:p>
    <w:p>
      <w:pPr>
        <w:spacing w:after="0" w:line="110"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We expect our sales and marketing expenses to increase on an absolute basis for the foreseeable future as we continue to invest in our sales force for expansion to new geographic and vertical markets. We expect sales and marketing expenses to continue to be our largest operating expense category.</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22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General and administrative expenses consist primarily of employee-related costs related to the corporate functions such as executive and internal administrative operations, as well as equity-based compensation, third-party professional fees, bad debt expense, travel, and facilities costs.</w:t>
      </w:r>
    </w:p>
    <w:p>
      <w:pPr>
        <w:spacing w:after="0" w:line="94"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We expect our general and administrative expenses to increase on an absolute basis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However, we expect that our general and administrative expense will decrease as a percentage of our revenue as our revenue grows over the longer term as our business grows.</w:t>
      </w:r>
    </w:p>
    <w:p>
      <w:pPr>
        <w:spacing w:after="0" w:line="118"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We also expect to incur higher equity-based compensation, which will result in an increase in costs of revenue, research and development expenses, sales and marketing expenses, and general and administrative expenses.</w:t>
      </w:r>
    </w:p>
    <w:p>
      <w:pPr>
        <w:spacing w:after="0" w:line="2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120"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Other income (expense), net consists primarily of interest income and interest expense. Interest income consists primarily of interest received on cash equivalents, which we expect will fluctuate based on our cash balances and interest rates. We expect interest expense to be insignificant unless we begin to utilize our 2025 Revolving Credit Facility.</w:t>
      </w:r>
    </w:p>
    <w:p>
      <w:pPr>
        <w:spacing w:after="0" w:line="2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Income Tax Benefit</w:t>
      </w:r>
    </w:p>
    <w:p>
      <w:pPr>
        <w:spacing w:after="0" w:line="120"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Our income tax benefit (expense) consists of U.S. and state income taxes and income taxes in certain foreign jurisdictions in which we conduct business. Our income tax rate varies from the federal statutory rate due to state income taxes, differences in accounting and tax treatment of our equity-based compensation, research and development credits, and changes in the valuation allowance. We expect fluctuation in effective income tax rates, as well as its potential impact on our results of operations, to continue.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18"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We generally experience seasonal fluctuations in demand for our products and services. Our quarterly sales are impacted by industry buying patterns. As a result, our sales have generally been highest in the fourth fiscal quarter and lowest in the first fiscal quarter. Although these seasonal factors are common in the technology industry, historical patterns should not be considered a reliable indicator of our future sales activity or performance.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5" w:lineRule="exact"/>
        <w:rPr>
          <w:sz w:val="20"/>
          <w:szCs w:val="20"/>
          <w:color w:val="auto"/>
        </w:rPr>
      </w:pPr>
    </w:p>
    <w:p>
      <w:pPr>
        <w:ind w:firstLine="624"/>
        <w:spacing w:after="0" w:line="239" w:lineRule="auto"/>
        <w:rPr>
          <w:sz w:val="20"/>
          <w:szCs w:val="20"/>
          <w:color w:val="auto"/>
        </w:rPr>
      </w:pPr>
      <w:r>
        <w:rPr>
          <w:rFonts w:ascii="Times New Roman" w:cs="Times New Roman" w:eastAsia="Times New Roman" w:hAnsi="Times New Roman"/>
          <w:sz w:val="17"/>
          <w:szCs w:val="17"/>
          <w:color w:val="auto"/>
        </w:rPr>
        <w:t>The following table sets forth our results of operations for the periods presented and as a percentage of revenue</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(in thousands, except for percentages and per share amounts)</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The period-to-period comparison of results is not necessarily indicative of results for future periods.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0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Subscription</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265,821</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8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215,323</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Services and other</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14,321</w:t>
            </w: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15,145</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98"/>
        </w:trPr>
        <w:tc>
          <w:tcPr>
            <w:tcW w:w="7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revenue</w:t>
            </w: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280,142</w:t>
            </w:r>
          </w:p>
        </w:tc>
        <w:tc>
          <w:tcPr>
            <w:tcW w:w="80" w:type="dxa"/>
            <w:vAlign w:val="bottom"/>
          </w:tcPr>
          <w:p>
            <w:pPr>
              <w:spacing w:after="0"/>
              <w:rPr>
                <w:sz w:val="17"/>
                <w:szCs w:val="17"/>
                <w:color w:val="auto"/>
              </w:rPr>
            </w:pPr>
          </w:p>
        </w:tc>
        <w:tc>
          <w:tcPr>
            <w:tcW w:w="8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230,468</w:t>
            </w:r>
          </w:p>
        </w:tc>
        <w:tc>
          <w:tcPr>
            <w:tcW w:w="100" w:type="dxa"/>
            <w:vAlign w:val="bottom"/>
          </w:tcPr>
          <w:p>
            <w:pPr>
              <w:spacing w:after="0"/>
              <w:rPr>
                <w:sz w:val="17"/>
                <w:szCs w:val="17"/>
                <w:color w:val="auto"/>
              </w:rPr>
            </w:pPr>
          </w:p>
        </w:tc>
        <w:tc>
          <w:tcPr>
            <w:tcW w:w="8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220"/>
              <w:spacing w:after="0" w:line="207" w:lineRule="exact"/>
              <w:rPr>
                <w:sz w:val="20"/>
                <w:szCs w:val="20"/>
                <w:color w:val="auto"/>
              </w:rPr>
            </w:pPr>
            <w:r>
              <w:rPr>
                <w:rFonts w:ascii="Times New Roman" w:cs="Times New Roman" w:eastAsia="Times New Roman" w:hAnsi="Times New Roman"/>
                <w:sz w:val="16"/>
                <w:szCs w:val="16"/>
                <w:color w:val="auto"/>
              </w:rPr>
              <w:t xml:space="preserve">Subscription </w:t>
            </w:r>
            <w:r>
              <w:rPr>
                <w:rFonts w:ascii="Times New Roman" w:cs="Times New Roman" w:eastAsia="Times New Roman" w:hAnsi="Times New Roman"/>
                <w:sz w:val="20"/>
                <w:szCs w:val="20"/>
                <w:color w:val="auto"/>
                <w:vertAlign w:val="superscript"/>
              </w:rPr>
              <w:t>(3) (4)</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80,220</w:t>
            </w:r>
          </w:p>
        </w:tc>
        <w:tc>
          <w:tcPr>
            <w:tcW w:w="80" w:type="dxa"/>
            <w:vAlign w:val="bottom"/>
          </w:tcPr>
          <w:p>
            <w:pPr>
              <w:spacing w:after="0"/>
              <w:rPr>
                <w:sz w:val="18"/>
                <w:szCs w:val="18"/>
                <w:color w:val="auto"/>
              </w:rPr>
            </w:pPr>
          </w:p>
        </w:tc>
        <w:tc>
          <w:tcPr>
            <w:tcW w:w="8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75,491</w:t>
            </w:r>
          </w:p>
        </w:tc>
        <w:tc>
          <w:tcPr>
            <w:tcW w:w="100" w:type="dxa"/>
            <w:vAlign w:val="bottom"/>
          </w:tcPr>
          <w:p>
            <w:pPr>
              <w:spacing w:after="0"/>
              <w:rPr>
                <w:sz w:val="18"/>
                <w:szCs w:val="18"/>
                <w:color w:val="auto"/>
              </w:rPr>
            </w:pPr>
          </w:p>
        </w:tc>
        <w:tc>
          <w:tcPr>
            <w:tcW w:w="8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8"/>
        </w:trPr>
        <w:tc>
          <w:tcPr>
            <w:tcW w:w="7080" w:type="dxa"/>
            <w:vAlign w:val="bottom"/>
            <w:shd w:val="clear" w:color="auto" w:fill="CCEEFF"/>
          </w:tcPr>
          <w:p>
            <w:pPr>
              <w:ind w:left="220"/>
              <w:spacing w:after="0" w:line="207" w:lineRule="exact"/>
              <w:rPr>
                <w:sz w:val="20"/>
                <w:szCs w:val="20"/>
                <w:color w:val="auto"/>
              </w:rPr>
            </w:pPr>
            <w:r>
              <w:rPr>
                <w:rFonts w:ascii="Times New Roman" w:cs="Times New Roman" w:eastAsia="Times New Roman" w:hAnsi="Times New Roman"/>
                <w:sz w:val="16"/>
                <w:szCs w:val="16"/>
                <w:color w:val="auto"/>
              </w:rPr>
              <w:t xml:space="preserve">Services and other </w:t>
            </w:r>
            <w:r>
              <w:rPr>
                <w:rFonts w:ascii="Times New Roman" w:cs="Times New Roman" w:eastAsia="Times New Roman" w:hAnsi="Times New Roman"/>
                <w:sz w:val="20"/>
                <w:szCs w:val="20"/>
                <w:color w:val="auto"/>
                <w:vertAlign w:val="superscript"/>
              </w:rPr>
              <w:t>(3) (4)</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18,810</w:t>
            </w: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27,322</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98"/>
        </w:trPr>
        <w:tc>
          <w:tcPr>
            <w:tcW w:w="70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cost of revenue</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99,030</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102,813</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181,112</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127,655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6"/>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080" w:type="dxa"/>
            <w:vAlign w:val="bottom"/>
            <w:shd w:val="clear" w:color="auto" w:fill="CCEEFF"/>
          </w:tcPr>
          <w:p>
            <w:pPr>
              <w:ind w:left="220"/>
              <w:spacing w:after="0" w:line="209" w:lineRule="exact"/>
              <w:rPr>
                <w:sz w:val="20"/>
                <w:szCs w:val="20"/>
                <w:color w:val="auto"/>
              </w:rPr>
            </w:pPr>
            <w:r>
              <w:rPr>
                <w:rFonts w:ascii="Times New Roman" w:cs="Times New Roman" w:eastAsia="Times New Roman" w:hAnsi="Times New Roman"/>
                <w:sz w:val="16"/>
                <w:szCs w:val="16"/>
                <w:color w:val="auto"/>
              </w:rPr>
              <w:t xml:space="preserve">Research and development </w:t>
            </w:r>
            <w:r>
              <w:rPr>
                <w:rFonts w:ascii="Times New Roman" w:cs="Times New Roman" w:eastAsia="Times New Roman" w:hAnsi="Times New Roman"/>
                <w:sz w:val="20"/>
                <w:szCs w:val="20"/>
                <w:color w:val="auto"/>
                <w:vertAlign w:val="superscript"/>
              </w:rPr>
              <w:t>(3) (4)</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61,686</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67,270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8"/>
        </w:trPr>
        <w:tc>
          <w:tcPr>
            <w:tcW w:w="7080" w:type="dxa"/>
            <w:vAlign w:val="bottom"/>
          </w:tcPr>
          <w:p>
            <w:pPr>
              <w:ind w:left="220"/>
              <w:spacing w:after="0" w:line="207" w:lineRule="exact"/>
              <w:rPr>
                <w:sz w:val="20"/>
                <w:szCs w:val="20"/>
                <w:color w:val="auto"/>
              </w:rPr>
            </w:pPr>
            <w:r>
              <w:rPr>
                <w:rFonts w:ascii="Times New Roman" w:cs="Times New Roman" w:eastAsia="Times New Roman" w:hAnsi="Times New Roman"/>
                <w:sz w:val="16"/>
                <w:szCs w:val="16"/>
                <w:color w:val="auto"/>
              </w:rPr>
              <w:t xml:space="preserve">Sales and marketing </w:t>
            </w:r>
            <w:r>
              <w:rPr>
                <w:rFonts w:ascii="Times New Roman" w:cs="Times New Roman" w:eastAsia="Times New Roman" w:hAnsi="Times New Roman"/>
                <w:sz w:val="20"/>
                <w:szCs w:val="20"/>
                <w:color w:val="auto"/>
                <w:vertAlign w:val="superscript"/>
              </w:rPr>
              <w:t>(3) (4)</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154,276</w:t>
            </w:r>
          </w:p>
        </w:tc>
        <w:tc>
          <w:tcPr>
            <w:tcW w:w="80" w:type="dxa"/>
            <w:vAlign w:val="bottom"/>
          </w:tcPr>
          <w:p>
            <w:pPr>
              <w:spacing w:after="0"/>
              <w:rPr>
                <w:sz w:val="18"/>
                <w:szCs w:val="18"/>
                <w:color w:val="auto"/>
              </w:rPr>
            </w:pPr>
          </w:p>
        </w:tc>
        <w:tc>
          <w:tcPr>
            <w:tcW w:w="8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164,530</w:t>
            </w:r>
          </w:p>
        </w:tc>
        <w:tc>
          <w:tcPr>
            <w:tcW w:w="100" w:type="dxa"/>
            <w:vAlign w:val="bottom"/>
          </w:tcPr>
          <w:p>
            <w:pPr>
              <w:spacing w:after="0"/>
              <w:rPr>
                <w:sz w:val="18"/>
                <w:szCs w:val="18"/>
                <w:color w:val="auto"/>
              </w:rPr>
            </w:pPr>
          </w:p>
        </w:tc>
        <w:tc>
          <w:tcPr>
            <w:tcW w:w="8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08"/>
        </w:trPr>
        <w:tc>
          <w:tcPr>
            <w:tcW w:w="7080" w:type="dxa"/>
            <w:vAlign w:val="bottom"/>
            <w:shd w:val="clear" w:color="auto" w:fill="CCEEFF"/>
          </w:tcPr>
          <w:p>
            <w:pPr>
              <w:ind w:left="220"/>
              <w:spacing w:after="0" w:line="207" w:lineRule="exact"/>
              <w:rPr>
                <w:sz w:val="20"/>
                <w:szCs w:val="20"/>
                <w:color w:val="auto"/>
              </w:rPr>
            </w:pPr>
            <w:r>
              <w:rPr>
                <w:rFonts w:ascii="Times New Roman" w:cs="Times New Roman" w:eastAsia="Times New Roman" w:hAnsi="Times New Roman"/>
                <w:sz w:val="16"/>
                <w:szCs w:val="16"/>
                <w:color w:val="auto"/>
              </w:rPr>
              <w:t xml:space="preserve">General and administrative </w:t>
            </w:r>
            <w:r>
              <w:rPr>
                <w:rFonts w:ascii="Times New Roman" w:cs="Times New Roman" w:eastAsia="Times New Roman" w:hAnsi="Times New Roman"/>
                <w:sz w:val="20"/>
                <w:szCs w:val="20"/>
                <w:color w:val="auto"/>
                <w:vertAlign w:val="superscript"/>
              </w:rPr>
              <w:t>(3)</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44,976</w:t>
            </w: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80,820</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98"/>
        </w:trPr>
        <w:tc>
          <w:tcPr>
            <w:tcW w:w="70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260,938</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312,620</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0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(79,826)</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(184,965)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05"/>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3,049</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5"/>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8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(22,389)</w:t>
            </w:r>
          </w:p>
        </w:tc>
        <w:tc>
          <w:tcPr>
            <w:tcW w:w="100" w:type="dxa"/>
            <w:vAlign w:val="bottom"/>
          </w:tcPr>
          <w:p>
            <w:pPr>
              <w:spacing w:after="0"/>
              <w:rPr>
                <w:sz w:val="17"/>
                <w:szCs w:val="17"/>
                <w:color w:val="auto"/>
              </w:rPr>
            </w:pPr>
          </w:p>
        </w:tc>
        <w:tc>
          <w:tcPr>
            <w:tcW w:w="8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w:t>
            </w: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7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(19,354)</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(80,048)</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(204,319)</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05"/>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5,374</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17,007</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(74,674)</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(187,312)</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05"/>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A yield</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(23,786)</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30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(74,674)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Net loss per share attributable to common stockholders, basic and diluted </w:t>
            </w:r>
            <w:r>
              <w:rPr>
                <w:rFonts w:ascii="Times New Roman" w:cs="Times New Roman" w:eastAsia="Times New Roman" w:hAnsi="Times New Roman"/>
                <w:sz w:val="22"/>
                <w:szCs w:val="22"/>
                <w:color w:val="auto"/>
                <w:vertAlign w:val="superscript"/>
              </w:rPr>
              <w:t>(2)</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8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(0.13)</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(0.42)</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080" w:type="dxa"/>
            <w:vAlign w:val="bottom"/>
            <w:tcBorders>
              <w:bottom w:val="single" w:sz="8" w:color="CCEEFF"/>
            </w:tcBorders>
            <w:shd w:val="clear" w:color="auto" w:fill="CCEEFF"/>
          </w:tcPr>
          <w:p>
            <w:pPr>
              <w:ind w:left="20"/>
              <w:spacing w:after="0" w:line="200" w:lineRule="exact"/>
              <w:rPr>
                <w:sz w:val="20"/>
                <w:szCs w:val="20"/>
                <w:color w:val="auto"/>
              </w:rPr>
            </w:pPr>
            <w:r>
              <w:rPr>
                <w:rFonts w:ascii="Times New Roman" w:cs="Times New Roman" w:eastAsia="Times New Roman" w:hAnsi="Times New Roman"/>
                <w:sz w:val="17"/>
                <w:szCs w:val="17"/>
                <w:color w:val="auto"/>
              </w:rPr>
              <w:t xml:space="preserve">Weighted average shares outstanding, basic and diluted </w:t>
            </w:r>
            <w:r>
              <w:rPr>
                <w:rFonts w:ascii="Times New Roman" w:cs="Times New Roman" w:eastAsia="Times New Roman" w:hAnsi="Times New Roman"/>
                <w:sz w:val="22"/>
                <w:szCs w:val="22"/>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564,548</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500,029</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_______________</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708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200" w:hanging="196"/>
        <w:spacing w:after="0"/>
        <w:tabs>
          <w:tab w:leader="none" w:pos="2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percentages may not foot due to rounding.</w:t>
      </w:r>
    </w:p>
    <w:p>
      <w:pPr>
        <w:spacing w:after="0" w:line="94" w:lineRule="exact"/>
        <w:rPr>
          <w:rFonts w:ascii="Times New Roman" w:cs="Times New Roman" w:eastAsia="Times New Roman" w:hAnsi="Times New Roman"/>
          <w:sz w:val="14"/>
          <w:szCs w:val="14"/>
          <w:color w:val="auto"/>
        </w:rPr>
      </w:pPr>
    </w:p>
    <w:p>
      <w:pPr>
        <w:ind w:firstLine="4"/>
        <w:spacing w:after="0" w:line="334" w:lineRule="auto"/>
        <w:tabs>
          <w:tab w:leader="none" w:pos="193"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for the period during February 2025 prior to the Corporate Conversion have been retrospectively adjusted to give effect to the Corporate Conversion described in Note 1 in this Quarterly Report. These amounts do not consider the shares of common stock sold in our IPO or the Class A Units considered preferred shares that were converted into common stock and issued upon the closing of our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(3) Includes equity-based compensation expense as follows:</w:t>
            </w: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5"/>
        </w:trPr>
        <w:tc>
          <w:tcPr>
            <w:tcW w:w="5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8"/>
          </w:tcPr>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c>
          <w:tcPr>
            <w:tcW w:w="0" w:type="dxa"/>
            <w:vAlign w:val="bottom"/>
          </w:tcPr>
          <w:p>
            <w:pPr>
              <w:spacing w:after="0"/>
              <w:rPr>
                <w:sz w:val="1"/>
                <w:szCs w:val="1"/>
                <w:color w:val="auto"/>
              </w:rPr>
            </w:pPr>
          </w:p>
        </w:tc>
      </w:tr>
      <w:tr>
        <w:trPr>
          <w:trHeight w:val="214"/>
        </w:trPr>
        <w:tc>
          <w:tcPr>
            <w:tcW w:w="5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 of revenue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Subscription</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43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Services and other</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27,839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Sales and marketing</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57,525</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3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Total equity-based compensation expense, net of amounts capitalized</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69,122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160,459</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 Includes amortization expense of acquired intangible assets as follows:</w:t>
            </w: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5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8"/>
          </w:tcPr>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c>
          <w:tcPr>
            <w:tcW w:w="0" w:type="dxa"/>
            <w:vAlign w:val="bottom"/>
          </w:tcPr>
          <w:p>
            <w:pPr>
              <w:spacing w:after="0"/>
              <w:rPr>
                <w:sz w:val="1"/>
                <w:szCs w:val="1"/>
                <w:color w:val="auto"/>
              </w:rPr>
            </w:pPr>
          </w:p>
        </w:tc>
      </w:tr>
      <w:tr>
        <w:trPr>
          <w:trHeight w:val="214"/>
        </w:trPr>
        <w:tc>
          <w:tcPr>
            <w:tcW w:w="5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 of revenue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Subscription</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43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26,831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Services and other</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Sales and marketing</w:t>
            </w:r>
          </w:p>
        </w:tc>
        <w:tc>
          <w:tcPr>
            <w:tcW w:w="3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23,757</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amortization expense</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49,912</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Comparison of the Three Months Ended April 30, 2026 and 2025</w:t>
            </w:r>
          </w:p>
        </w:tc>
        <w:tc>
          <w:tcPr>
            <w:tcW w:w="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3"/>
        </w:trPr>
        <w:tc>
          <w:tcPr>
            <w:tcW w:w="5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000" w:type="dxa"/>
            <w:vAlign w:val="bottom"/>
          </w:tcPr>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50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14"/>
        </w:trPr>
        <w:tc>
          <w:tcPr>
            <w:tcW w:w="50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6"/>
          </w:tcPr>
          <w:p>
            <w:pPr>
              <w:ind w:left="40"/>
              <w:spacing w:after="0"/>
              <w:rPr>
                <w:sz w:val="20"/>
                <w:szCs w:val="20"/>
                <w:color w:val="auto"/>
              </w:rPr>
            </w:pPr>
            <w:r>
              <w:rPr>
                <w:rFonts w:ascii="Times New Roman" w:cs="Times New Roman" w:eastAsia="Times New Roman" w:hAnsi="Times New Roman"/>
                <w:sz w:val="17"/>
                <w:szCs w:val="17"/>
                <w:b w:val="1"/>
                <w:bCs w:val="1"/>
                <w:color w:val="auto"/>
              </w:rPr>
              <w:t>(In thousands, except percentages)</w:t>
            </w:r>
          </w:p>
        </w:tc>
        <w:tc>
          <w:tcPr>
            <w:tcW w:w="1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Subscription</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SaaS</w:t>
            </w: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178,479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131,815</w:t>
            </w:r>
          </w:p>
        </w:tc>
        <w:tc>
          <w:tcPr>
            <w:tcW w:w="500" w:type="dxa"/>
            <w:vAlign w:val="bottom"/>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46,664</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Maintenance and support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37,389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(2,826)</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Term subscriptions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3,876</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Other subscription services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8,863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6,079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2,784</w:t>
            </w:r>
          </w:p>
        </w:tc>
        <w:tc>
          <w:tcPr>
            <w:tcW w:w="3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46 %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subscription</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265,821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215,323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50,498</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Services and other</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15,145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(824)</w:t>
            </w:r>
          </w:p>
        </w:tc>
        <w:tc>
          <w:tcPr>
            <w:tcW w:w="3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0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revenue</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280,142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230,468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49,674</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624"/>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Subscription Revenue. </w:t>
      </w:r>
      <w:r>
        <w:rPr>
          <w:rFonts w:ascii="Times New Roman" w:cs="Times New Roman" w:eastAsia="Times New Roman" w:hAnsi="Times New Roman"/>
          <w:sz w:val="17"/>
          <w:szCs w:val="17"/>
          <w:color w:val="auto"/>
        </w:rPr>
        <w:t>Subscription revenue increased by $50.5 million, or 23%, for the three months ended April 30, 2026 compared to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April 30, 2025 primarily due to an increase in SaaS revenue and term subscription revenue from our shift in focus on selling subscriptions to new customers and expanding our footprint with existing customers.</w:t>
      </w:r>
    </w:p>
    <w:p>
      <w:pPr>
        <w:spacing w:after="0" w:line="160" w:lineRule="exact"/>
        <w:rPr>
          <w:sz w:val="20"/>
          <w:szCs w:val="20"/>
          <w:color w:val="auto"/>
        </w:rPr>
      </w:pPr>
    </w:p>
    <w:p>
      <w:pPr>
        <w:jc w:val="both"/>
        <w:ind w:firstLine="624"/>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Services and Other Revenue. </w:t>
      </w:r>
      <w:r>
        <w:rPr>
          <w:rFonts w:ascii="Times New Roman" w:cs="Times New Roman" w:eastAsia="Times New Roman" w:hAnsi="Times New Roman"/>
          <w:sz w:val="17"/>
          <w:szCs w:val="17"/>
          <w:color w:val="auto"/>
        </w:rPr>
        <w:t>Services and other revenue decreased by $0.8 million, or 5% for the three months ended April 30, 2026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three months ended April 30, 2025. This decrease was primarily a result of a strategic shift toward selling a higher proportion of professional services and training on a subscription basis.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4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3336290</wp:posOffset>
            </wp:positionH>
            <wp:positionV relativeFrom="paragraph">
              <wp:posOffset>20955</wp:posOffset>
            </wp:positionV>
            <wp:extent cx="19310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31035" cy="8255"/>
                    </a:xfrm>
                    <a:prstGeom prst="rect">
                      <a:avLst/>
                    </a:prstGeom>
                    <a:noFill/>
                  </pic:spPr>
                </pic:pic>
              </a:graphicData>
            </a:graphic>
          </wp:anchor>
        </w:drawing>
      </w:r>
    </w:p>
    <w:p>
      <w:pPr>
        <w:spacing w:after="0" w:line="18" w:lineRule="exact"/>
        <w:rPr>
          <w:sz w:val="20"/>
          <w:szCs w:val="20"/>
          <w:color w:val="auto"/>
        </w:rPr>
      </w:pPr>
    </w:p>
    <w:p>
      <w:pPr>
        <w:ind w:left="5840"/>
        <w:spacing w:after="0"/>
        <w:tabs>
          <w:tab w:leader="none" w:pos="7380" w:val="left"/>
          <w:tab w:leader="none" w:pos="8680" w:val="left"/>
          <w:tab w:leader="none" w:pos="10120" w:val="left"/>
        </w:tabs>
        <w:rPr>
          <w:sz w:val="20"/>
          <w:szCs w:val="20"/>
          <w:color w:val="auto"/>
        </w:rPr>
      </w:pPr>
      <w:r>
        <w:rPr>
          <w:rFonts w:ascii="Times New Roman" w:cs="Times New Roman" w:eastAsia="Times New Roman" w:hAnsi="Times New Roman"/>
          <w:sz w:val="17"/>
          <w:szCs w:val="17"/>
          <w:b w:val="1"/>
          <w:bCs w:val="1"/>
          <w:color w:val="auto"/>
        </w:rPr>
        <w:t>2026</w:t>
      </w:r>
      <w:r>
        <w:rPr>
          <w:sz w:val="20"/>
          <w:szCs w:val="20"/>
          <w:color w:val="auto"/>
        </w:rPr>
        <w:tab/>
      </w:r>
      <w:r>
        <w:rPr>
          <w:rFonts w:ascii="Times New Roman" w:cs="Times New Roman" w:eastAsia="Times New Roman" w:hAnsi="Times New Roman"/>
          <w:sz w:val="17"/>
          <w:szCs w:val="17"/>
          <w:b w:val="1"/>
          <w:bCs w:val="1"/>
          <w:color w:val="auto"/>
        </w:rPr>
        <w:t>2025</w:t>
      </w:r>
      <w:r>
        <w:rPr>
          <w:sz w:val="20"/>
          <w:szCs w:val="20"/>
          <w:color w:val="auto"/>
        </w:rPr>
        <w:tab/>
      </w:r>
      <w:r>
        <w:rPr>
          <w:rFonts w:ascii="Times New Roman" w:cs="Times New Roman" w:eastAsia="Times New Roman" w:hAnsi="Times New Roman"/>
          <w:sz w:val="17"/>
          <w:szCs w:val="17"/>
          <w:b w:val="1"/>
          <w:bCs w:val="1"/>
          <w:color w:val="auto"/>
        </w:rPr>
        <w:t>$ Change</w:t>
      </w:r>
      <w:r>
        <w:rPr>
          <w:sz w:val="20"/>
          <w:szCs w:val="20"/>
          <w:color w:val="auto"/>
        </w:rPr>
        <w:tab/>
      </w:r>
      <w:r>
        <w:rPr>
          <w:rFonts w:ascii="Times New Roman" w:cs="Times New Roman" w:eastAsia="Times New Roman" w:hAnsi="Times New Roman"/>
          <w:sz w:val="17"/>
          <w:szCs w:val="17"/>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3336290</wp:posOffset>
            </wp:positionH>
            <wp:positionV relativeFrom="paragraph">
              <wp:posOffset>20955</wp:posOffset>
            </wp:positionV>
            <wp:extent cx="38036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03650" cy="8255"/>
                    </a:xfrm>
                    <a:prstGeom prst="rect">
                      <a:avLst/>
                    </a:prstGeom>
                    <a:noFill/>
                  </pic:spPr>
                </pic:pic>
              </a:graphicData>
            </a:graphic>
          </wp:anchor>
        </w:drawing>
      </w:r>
    </w:p>
    <w:p>
      <w:pPr>
        <w:spacing w:after="0" w:line="1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b w:val="1"/>
          <w:bCs w:val="1"/>
          <w:color w:val="auto"/>
        </w:rPr>
        <w:t>(In thousands, except percentages)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 of revenue</w:t>
            </w: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21"/>
        </w:trPr>
        <w:tc>
          <w:tcPr>
            <w:tcW w:w="5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Subscription</w:t>
            </w:r>
          </w:p>
        </w:tc>
        <w:tc>
          <w:tcPr>
            <w:tcW w:w="52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80,220</w:t>
            </w:r>
          </w:p>
        </w:tc>
        <w:tc>
          <w:tcPr>
            <w:tcW w:w="100" w:type="dxa"/>
            <w:vAlign w:val="bottom"/>
          </w:tcPr>
          <w:p>
            <w:pPr>
              <w:spacing w:after="0"/>
              <w:rPr>
                <w:sz w:val="19"/>
                <w:szCs w:val="19"/>
                <w:color w:val="auto"/>
              </w:rPr>
            </w:pP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75,491</w:t>
            </w:r>
          </w:p>
        </w:tc>
        <w:tc>
          <w:tcPr>
            <w:tcW w:w="100" w:type="dxa"/>
            <w:vAlign w:val="bottom"/>
          </w:tcPr>
          <w:p>
            <w:pPr>
              <w:spacing w:after="0"/>
              <w:rPr>
                <w:sz w:val="19"/>
                <w:szCs w:val="19"/>
                <w:color w:val="auto"/>
              </w:rPr>
            </w:pP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center"/>
              <w:ind w:left="233"/>
              <w:spacing w:after="0"/>
              <w:rPr>
                <w:sz w:val="20"/>
                <w:szCs w:val="20"/>
                <w:color w:val="auto"/>
              </w:rPr>
            </w:pPr>
            <w:r>
              <w:rPr>
                <w:rFonts w:ascii="Times New Roman" w:cs="Times New Roman" w:eastAsia="Times New Roman" w:hAnsi="Times New Roman"/>
                <w:sz w:val="17"/>
                <w:szCs w:val="17"/>
                <w:color w:val="auto"/>
                <w:w w:val="99"/>
              </w:rPr>
              <w:t>4,729</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6 %</w:t>
            </w:r>
          </w:p>
        </w:tc>
      </w:tr>
      <w:tr>
        <w:trPr>
          <w:trHeight w:val="221"/>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Services and other</w:t>
            </w: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18,810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27,322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213"/>
              <w:spacing w:after="0"/>
              <w:rPr>
                <w:sz w:val="20"/>
                <w:szCs w:val="20"/>
                <w:color w:val="auto"/>
              </w:rPr>
            </w:pPr>
            <w:r>
              <w:rPr>
                <w:rFonts w:ascii="Times New Roman" w:cs="Times New Roman" w:eastAsia="Times New Roman" w:hAnsi="Times New Roman"/>
                <w:sz w:val="17"/>
                <w:szCs w:val="17"/>
                <w:color w:val="auto"/>
              </w:rPr>
              <w:t>(8,512)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4"/>
        </w:trPr>
        <w:tc>
          <w:tcPr>
            <w:tcW w:w="52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cost of revenue</w:t>
            </w:r>
          </w:p>
        </w:tc>
        <w:tc>
          <w:tcPr>
            <w:tcW w:w="5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99,030</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102,813</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center"/>
              <w:ind w:left="213"/>
              <w:spacing w:after="0"/>
              <w:rPr>
                <w:sz w:val="20"/>
                <w:szCs w:val="20"/>
                <w:color w:val="auto"/>
              </w:rPr>
            </w:pPr>
            <w:r>
              <w:rPr>
                <w:rFonts w:ascii="Times New Roman" w:cs="Times New Roman" w:eastAsia="Times New Roman" w:hAnsi="Times New Roman"/>
                <w:sz w:val="17"/>
                <w:szCs w:val="17"/>
                <w:color w:val="auto"/>
              </w:rPr>
              <w:t>(3,783)</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0"/>
        </w:trPr>
        <w:tc>
          <w:tcPr>
            <w:tcW w:w="5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firstLine="624"/>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Cost of Subscription Revenue. </w:t>
      </w:r>
      <w:r>
        <w:rPr>
          <w:rFonts w:ascii="Times New Roman" w:cs="Times New Roman" w:eastAsia="Times New Roman" w:hAnsi="Times New Roman"/>
          <w:sz w:val="17"/>
          <w:szCs w:val="17"/>
          <w:color w:val="auto"/>
        </w:rPr>
        <w:t>Cost of subscription revenue increased $4.7 million, or 6%, for the three months ended April 30, 2026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three months ended April 30, 2025 primarily due to an increase in employee-related costs of $5.6 million due to higher headcount and increased investments in existing employees, an increase in software and hosting costs of $4.1 million from the increase in sales of SaaS subscriptions, an increase in amortization of intangible assets of $0.8 million, an increase in third-party royalties of $0.7 million, and an increase in amortization of capitalized software of $0.4 million. This increase was partially offset by a decrease of $6.7 million in equity-based compensation related to the acceleration of equity-based awards from the completion of our IPO and a decrease in partner costs of $0.3 million.</w:t>
      </w:r>
    </w:p>
    <w:p>
      <w:pPr>
        <w:spacing w:after="0" w:line="170" w:lineRule="exact"/>
        <w:rPr>
          <w:sz w:val="20"/>
          <w:szCs w:val="20"/>
          <w:color w:val="auto"/>
        </w:rPr>
      </w:pPr>
    </w:p>
    <w:p>
      <w:pPr>
        <w:jc w:val="both"/>
        <w:ind w:firstLine="624"/>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Cost of Services and Other. </w:t>
      </w:r>
      <w:r>
        <w:rPr>
          <w:rFonts w:ascii="Times New Roman" w:cs="Times New Roman" w:eastAsia="Times New Roman" w:hAnsi="Times New Roman"/>
          <w:sz w:val="17"/>
          <w:szCs w:val="17"/>
          <w:color w:val="auto"/>
        </w:rPr>
        <w:t>Cost of services and other decreased by $8.5 million, or 31%, for the three months ended April 30, 2026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three months ended April 30, 2025, primarily due to a decrease of $8.4 million in equity-based compensation related to the acceleration of equity-based awards upon the completion of our IPO.</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Gross Profit and Gross Margin</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8"/>
        </w:trPr>
        <w:tc>
          <w:tcPr>
            <w:tcW w:w="50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4"/>
        </w:trPr>
        <w:tc>
          <w:tcPr>
            <w:tcW w:w="5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4"/>
        </w:trPr>
        <w:tc>
          <w:tcPr>
            <w:tcW w:w="5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4"/>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(In thousands, except percentages)</w:t>
            </w:r>
          </w:p>
        </w:tc>
        <w:tc>
          <w:tcPr>
            <w:tcW w:w="1520" w:type="dxa"/>
            <w:vAlign w:val="bottom"/>
          </w:tcPr>
          <w:p>
            <w:pPr>
              <w:spacing w:after="0"/>
              <w:rPr>
                <w:sz w:val="18"/>
                <w:szCs w:val="18"/>
                <w:color w:val="auto"/>
              </w:rPr>
            </w:pPr>
          </w:p>
        </w:tc>
      </w:tr>
      <w:tr>
        <w:trPr>
          <w:trHeight w:val="22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1"/>
        </w:trPr>
        <w:tc>
          <w:tcPr>
            <w:tcW w:w="5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Subscription</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185,601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139,832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45,769</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33 %</w:t>
            </w:r>
          </w:p>
        </w:tc>
      </w:tr>
      <w:tr>
        <w:trPr>
          <w:trHeight w:val="221"/>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Services and other</w:t>
            </w: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(4,489)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(12,177)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7,688</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63 %</w:t>
            </w:r>
          </w:p>
        </w:tc>
      </w:tr>
      <w:tr>
        <w:trPr>
          <w:trHeight w:val="214"/>
        </w:trPr>
        <w:tc>
          <w:tcPr>
            <w:tcW w:w="50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gross profit</w:t>
            </w: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181,112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127,655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53,457</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42 %</w:t>
            </w: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r>
      <w:tr>
        <w:trPr>
          <w:trHeight w:val="213"/>
        </w:trPr>
        <w:tc>
          <w:tcPr>
            <w:tcW w:w="5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1"/>
        </w:trPr>
        <w:tc>
          <w:tcPr>
            <w:tcW w:w="50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r>
      <w:tr>
        <w:trPr>
          <w:trHeight w:val="214"/>
        </w:trPr>
        <w:tc>
          <w:tcPr>
            <w:tcW w:w="50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01"/>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Gross profit margin</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21"/>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Subscription</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1"/>
        </w:trPr>
        <w:tc>
          <w:tcPr>
            <w:tcW w:w="5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Services and other</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r>
      <w:tr>
        <w:trPr>
          <w:trHeight w:val="239"/>
        </w:trPr>
        <w:tc>
          <w:tcPr>
            <w:tcW w:w="50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gross profit margin</w:t>
            </w:r>
          </w:p>
        </w:tc>
        <w:tc>
          <w:tcPr>
            <w:tcW w:w="3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278" w:lineRule="exact"/>
        <w:rPr>
          <w:sz w:val="20"/>
          <w:szCs w:val="20"/>
          <w:color w:val="auto"/>
        </w:rPr>
      </w:pPr>
    </w:p>
    <w:p>
      <w:pPr>
        <w:jc w:val="both"/>
        <w:ind w:firstLine="624"/>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Subscription. </w:t>
      </w:r>
      <w:r>
        <w:rPr>
          <w:rFonts w:ascii="Times New Roman" w:cs="Times New Roman" w:eastAsia="Times New Roman" w:hAnsi="Times New Roman"/>
          <w:sz w:val="17"/>
          <w:szCs w:val="17"/>
          <w:color w:val="auto"/>
        </w:rPr>
        <w:t>Subscription gross profit increased by $45.8 million, or 33%, during the three months ended April 30, 2026 compared to the three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April 30, 2025. The increase was primarily due to the growth in subscription revenue. Subscription gross profit margin was 70% for the three months ended April 30, 2026 and 65% for the three months ended April 30, 2025. The increase was primarily due to the overall increase in subscription revenue, which was partially offset by the decrease in employee-related costs related to acceleration of equity-based awards from the completion of our IPO.</w:t>
      </w:r>
    </w:p>
    <w:p>
      <w:pPr>
        <w:spacing w:after="0" w:line="166" w:lineRule="exact"/>
        <w:rPr>
          <w:sz w:val="20"/>
          <w:szCs w:val="20"/>
          <w:color w:val="auto"/>
        </w:rPr>
      </w:pPr>
    </w:p>
    <w:p>
      <w:pPr>
        <w:jc w:val="both"/>
        <w:ind w:firstLine="624"/>
        <w:spacing w:after="0" w:line="275" w:lineRule="auto"/>
        <w:rPr>
          <w:sz w:val="20"/>
          <w:szCs w:val="20"/>
          <w:color w:val="auto"/>
        </w:rPr>
      </w:pPr>
      <w:r>
        <w:rPr>
          <w:rFonts w:ascii="Times New Roman" w:cs="Times New Roman" w:eastAsia="Times New Roman" w:hAnsi="Times New Roman"/>
          <w:sz w:val="17"/>
          <w:szCs w:val="17"/>
          <w:i w:val="1"/>
          <w:iCs w:val="1"/>
          <w:color w:val="auto"/>
        </w:rPr>
        <w:t>Services and Other</w:t>
      </w:r>
      <w:r>
        <w:rPr>
          <w:rFonts w:ascii="Times New Roman" w:cs="Times New Roman" w:eastAsia="Times New Roman" w:hAnsi="Times New Roman"/>
          <w:sz w:val="17"/>
          <w:szCs w:val="17"/>
          <w:color w:val="auto"/>
        </w:rPr>
        <w:t>. Services and other gross profit increased by $7.7 million during the three months ended April 30, 2026 compared to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April 30, 2025. The increase in gross profit and gross profit margin was primarily due to the decrease in employee-related costs related to acceleration of equity-based awards from the completion of our IPO.</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Total gross profit increased by $53.5 million, or 42%, during the three months ended April 30, 2026 compared to the three months ended April 30, 2025. The increase was primarily due to the growth in total revenue. Total gross profit margin was 65% for the three months ended April 30, 2026 and 55% for the three months ended April 30, 2025. Total gross profit margin increased primarily due to the overall increase in subscription revenue, which was partially offset by the decrease in employee-related costs related to acceleration of equity-based awards from completion of our IPO.</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8"/>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gridSpan w:val="5"/>
          </w:tcPr>
          <w:p>
            <w:pPr>
              <w:ind w:left="180"/>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4"/>
        </w:trPr>
        <w:tc>
          <w:tcPr>
            <w:tcW w:w="51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4"/>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4"/>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(In thousands, except percentages)</w:t>
            </w:r>
          </w:p>
        </w:tc>
        <w:tc>
          <w:tcPr>
            <w:tcW w:w="1540" w:type="dxa"/>
            <w:vAlign w:val="bottom"/>
          </w:tcPr>
          <w:p>
            <w:pPr>
              <w:spacing w:after="0"/>
              <w:rPr>
                <w:sz w:val="18"/>
                <w:szCs w:val="18"/>
                <w:color w:val="auto"/>
              </w:rPr>
            </w:pPr>
          </w:p>
        </w:tc>
      </w:tr>
      <w:tr>
        <w:trPr>
          <w:trHeight w:val="221"/>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1"/>
        </w:trPr>
        <w:tc>
          <w:tcPr>
            <w:tcW w:w="5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61,686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67,270</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(5,584)</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21"/>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Sales and marketing</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164,530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21"/>
        </w:trPr>
        <w:tc>
          <w:tcPr>
            <w:tcW w:w="5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44,976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80,820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(35,844)</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39"/>
        </w:trPr>
        <w:tc>
          <w:tcPr>
            <w:tcW w:w="51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260,938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312,620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(51,682)</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265" w:lineRule="exact"/>
        <w:rPr>
          <w:sz w:val="20"/>
          <w:szCs w:val="20"/>
          <w:color w:val="auto"/>
        </w:rPr>
      </w:pPr>
    </w:p>
    <w:p>
      <w:pPr>
        <w:jc w:val="both"/>
        <w:ind w:firstLine="624"/>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Expenses. </w:t>
      </w:r>
      <w:r>
        <w:rPr>
          <w:rFonts w:ascii="Times New Roman" w:cs="Times New Roman" w:eastAsia="Times New Roman" w:hAnsi="Times New Roman"/>
          <w:sz w:val="17"/>
          <w:szCs w:val="17"/>
          <w:color w:val="auto"/>
        </w:rPr>
        <w:t>Research and development expenses decreased by $5.6 million, or 8%, for the three months ended April 30, 2026</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the three months ended April 30, 2025. This decrease was primarily driven by a $12.4 million decrease in equity-based compensation related to the acceleration of equity-based awards from the completion of our IPO, partially offset by a $5.8 million increase in employee-based costs due to continued investment in talent related to the development of our products, and a $1.0 million increase in software and hosting costs.</w:t>
      </w:r>
    </w:p>
    <w:p>
      <w:pPr>
        <w:spacing w:after="0" w:line="166" w:lineRule="exact"/>
        <w:rPr>
          <w:sz w:val="20"/>
          <w:szCs w:val="20"/>
          <w:color w:val="auto"/>
        </w:rPr>
      </w:pPr>
    </w:p>
    <w:p>
      <w:pPr>
        <w:jc w:val="both"/>
        <w:ind w:firstLine="624"/>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Sales and Marketing Expenses. </w:t>
      </w:r>
      <w:r>
        <w:rPr>
          <w:rFonts w:ascii="Times New Roman" w:cs="Times New Roman" w:eastAsia="Times New Roman" w:hAnsi="Times New Roman"/>
          <w:sz w:val="17"/>
          <w:szCs w:val="17"/>
          <w:color w:val="auto"/>
        </w:rPr>
        <w:t>Sales and marketing expenses decreased by $10.3 million, or 6%, for the three months ended April 30, 2026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three months ended April 30, 2025. This decrease was primarily driven by a $31.0 million decrease in equity-based compensation related to the acceleration of equity-based awards from the completion of our IPO, partially offset by a $14.4 million increase in employee-related costs to support deeper penetration into our existing customer base and expansion into new industry verticals and geographic markets, a $4.7 million increase in advertising and promotion costs, a $0.6 million increase in software and hosting costs, a $0.4 million increase in professional services fees and a $0.1 million increase in travel expenses.</w:t>
      </w:r>
    </w:p>
    <w:p>
      <w:pPr>
        <w:spacing w:after="0" w:line="168" w:lineRule="exact"/>
        <w:rPr>
          <w:sz w:val="20"/>
          <w:szCs w:val="20"/>
          <w:color w:val="auto"/>
        </w:rPr>
      </w:pPr>
    </w:p>
    <w:p>
      <w:pPr>
        <w:jc w:val="both"/>
        <w:ind w:firstLine="624"/>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Expenses. </w:t>
      </w:r>
      <w:r>
        <w:rPr>
          <w:rFonts w:ascii="Times New Roman" w:cs="Times New Roman" w:eastAsia="Times New Roman" w:hAnsi="Times New Roman"/>
          <w:sz w:val="17"/>
          <w:szCs w:val="17"/>
          <w:color w:val="auto"/>
        </w:rPr>
        <w:t>General and administrative expenses decreased by $35.8 million, or 44%, for the three months ended April 30,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2026 compared to the three months ended April 30, 2025. This decrease was primarily driven by a $32.9 million decrease in equity-based compensation related to the acceleration of equity-based awards from the completion of our IPO, a $2.8 million decrease in employee-based costs due to lower contract labor costs, a $2.4 million decrease in provision for credit losses compared to prior year, and a $0.3 million decrease in professional services fees. This decrease was partially offset by a $1.9 million increase in software and hosting costs.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8"/>
        </w:trPr>
        <w:tc>
          <w:tcPr>
            <w:tcW w:w="5260" w:type="dxa"/>
            <w:vAlign w:val="bottom"/>
          </w:tcPr>
          <w:p>
            <w:pPr>
              <w:spacing w:after="0"/>
              <w:rPr>
                <w:sz w:val="24"/>
                <w:szCs w:val="24"/>
                <w:color w:val="auto"/>
              </w:rPr>
            </w:pPr>
          </w:p>
        </w:tc>
        <w:tc>
          <w:tcPr>
            <w:tcW w:w="3140" w:type="dxa"/>
            <w:vAlign w:val="bottom"/>
            <w:gridSpan w:val="6"/>
          </w:tcPr>
          <w:p>
            <w:pPr>
              <w:ind w:left="380"/>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4"/>
        </w:trPr>
        <w:tc>
          <w:tcPr>
            <w:tcW w:w="52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4"/>
        </w:trPr>
        <w:tc>
          <w:tcPr>
            <w:tcW w:w="5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4"/>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(In thousands, except percentages)</w:t>
            </w:r>
          </w:p>
        </w:tc>
        <w:tc>
          <w:tcPr>
            <w:tcW w:w="1540" w:type="dxa"/>
            <w:vAlign w:val="bottom"/>
          </w:tcPr>
          <w:p>
            <w:pPr>
              <w:spacing w:after="0"/>
              <w:rPr>
                <w:sz w:val="18"/>
                <w:szCs w:val="18"/>
                <w:color w:val="auto"/>
              </w:rPr>
            </w:pPr>
          </w:p>
        </w:tc>
      </w:tr>
      <w:tr>
        <w:trPr>
          <w:trHeight w:val="22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 net</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1"/>
        </w:trPr>
        <w:tc>
          <w:tcPr>
            <w:tcW w:w="5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income</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3,226</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1"/>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22,124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99 %</w:t>
            </w:r>
          </w:p>
        </w:tc>
      </w:tr>
      <w:tr>
        <w:trPr>
          <w:trHeight w:val="221"/>
        </w:trPr>
        <w:tc>
          <w:tcPr>
            <w:tcW w:w="5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(2,815)</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52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19,132</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99 %</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Percentage not deemed meaningful</w:t>
      </w:r>
    </w:p>
    <w:p>
      <w:pPr>
        <w:spacing w:after="0" w:line="16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 xml:space="preserve">Total other income (expense), net decreased by $19.1 million, or 99%, for the three months ended April 30, 2026 compared to the three months ended April 30, 2025. This decrease was primarily due to a $22.1 million net decrease in interest expense due to the full repayment of our Term Loans in the prior year, which included a </w:t>
      </w:r>
      <w:r>
        <w:rPr>
          <w:rFonts w:ascii="Times New Roman" w:cs="Times New Roman" w:eastAsia="Times New Roman" w:hAnsi="Times New Roman"/>
          <w:sz w:val="17"/>
          <w:szCs w:val="17"/>
          <w:color w:val="231F20"/>
        </w:rPr>
        <w:t>$15.3 million</w:t>
      </w:r>
      <w:r>
        <w:rPr>
          <w:rFonts w:ascii="Times New Roman" w:cs="Times New Roman" w:eastAsia="Times New Roman" w:hAnsi="Times New Roman"/>
          <w:sz w:val="17"/>
          <w:szCs w:val="17"/>
          <w:color w:val="auto"/>
        </w:rPr>
        <w:t xml:space="preserve"> loss on the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 xml:space="preserve">extinguishment of debt and </w:t>
      </w:r>
      <w:r>
        <w:rPr>
          <w:rFonts w:ascii="Times New Roman" w:cs="Times New Roman" w:eastAsia="Times New Roman" w:hAnsi="Times New Roman"/>
          <w:sz w:val="17"/>
          <w:szCs w:val="17"/>
          <w:color w:val="231F20"/>
        </w:rPr>
        <w:t>$6.7 million</w:t>
      </w:r>
      <w:r>
        <w:rPr>
          <w:rFonts w:ascii="Times New Roman" w:cs="Times New Roman" w:eastAsia="Times New Roman" w:hAnsi="Times New Roman"/>
          <w:sz w:val="17"/>
          <w:szCs w:val="17"/>
          <w:color w:val="auto"/>
        </w:rPr>
        <w:t xml:space="preserve"> in related interest expense, partially offset by a $2.8 million increase in other expense related to foreign currency exchange loss.</w:t>
      </w:r>
    </w:p>
    <w:p>
      <w:pPr>
        <w:spacing w:after="0" w:line="2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Income Tax Benefit</w:t>
      </w:r>
    </w:p>
    <w:p>
      <w:pPr>
        <w:spacing w:after="0" w:line="14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3295015</wp:posOffset>
            </wp:positionH>
            <wp:positionV relativeFrom="paragraph">
              <wp:posOffset>20955</wp:posOffset>
            </wp:positionV>
            <wp:extent cx="19723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72310" cy="8255"/>
                    </a:xfrm>
                    <a:prstGeom prst="rect">
                      <a:avLst/>
                    </a:prstGeom>
                    <a:noFill/>
                  </pic:spPr>
                </pic:pic>
              </a:graphicData>
            </a:graphic>
          </wp:anchor>
        </w:drawing>
      </w:r>
    </w:p>
    <w:p>
      <w:pPr>
        <w:spacing w:after="0" w:line="18" w:lineRule="exact"/>
        <w:rPr>
          <w:sz w:val="20"/>
          <w:szCs w:val="20"/>
          <w:color w:val="auto"/>
        </w:rPr>
      </w:pPr>
    </w:p>
    <w:p>
      <w:pPr>
        <w:ind w:left="5760"/>
        <w:spacing w:after="0"/>
        <w:tabs>
          <w:tab w:leader="none" w:pos="7360" w:val="left"/>
          <w:tab w:leader="none" w:pos="8680" w:val="left"/>
          <w:tab w:leader="none" w:pos="10120" w:val="left"/>
        </w:tabs>
        <w:rPr>
          <w:sz w:val="20"/>
          <w:szCs w:val="20"/>
          <w:color w:val="auto"/>
        </w:rPr>
      </w:pPr>
      <w:r>
        <w:rPr>
          <w:rFonts w:ascii="Times New Roman" w:cs="Times New Roman" w:eastAsia="Times New Roman" w:hAnsi="Times New Roman"/>
          <w:sz w:val="17"/>
          <w:szCs w:val="17"/>
          <w:b w:val="1"/>
          <w:bCs w:val="1"/>
          <w:color w:val="auto"/>
        </w:rPr>
        <w:t>2026</w:t>
      </w:r>
      <w:r>
        <w:rPr>
          <w:sz w:val="20"/>
          <w:szCs w:val="20"/>
          <w:color w:val="auto"/>
        </w:rPr>
        <w:tab/>
      </w:r>
      <w:r>
        <w:rPr>
          <w:rFonts w:ascii="Times New Roman" w:cs="Times New Roman" w:eastAsia="Times New Roman" w:hAnsi="Times New Roman"/>
          <w:sz w:val="17"/>
          <w:szCs w:val="17"/>
          <w:b w:val="1"/>
          <w:bCs w:val="1"/>
          <w:color w:val="auto"/>
        </w:rPr>
        <w:t>2025</w:t>
      </w:r>
      <w:r>
        <w:rPr>
          <w:sz w:val="20"/>
          <w:szCs w:val="20"/>
          <w:color w:val="auto"/>
        </w:rPr>
        <w:tab/>
      </w:r>
      <w:r>
        <w:rPr>
          <w:rFonts w:ascii="Times New Roman" w:cs="Times New Roman" w:eastAsia="Times New Roman" w:hAnsi="Times New Roman"/>
          <w:sz w:val="17"/>
          <w:szCs w:val="17"/>
          <w:b w:val="1"/>
          <w:bCs w:val="1"/>
          <w:color w:val="auto"/>
        </w:rPr>
        <w:t>$ Change</w:t>
      </w:r>
      <w:r>
        <w:rPr>
          <w:sz w:val="20"/>
          <w:szCs w:val="20"/>
          <w:color w:val="auto"/>
        </w:rPr>
        <w:tab/>
      </w:r>
      <w:r>
        <w:rPr>
          <w:rFonts w:ascii="Times New Roman" w:cs="Times New Roman" w:eastAsia="Times New Roman" w:hAnsi="Times New Roman"/>
          <w:sz w:val="17"/>
          <w:szCs w:val="17"/>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3295015</wp:posOffset>
            </wp:positionH>
            <wp:positionV relativeFrom="paragraph">
              <wp:posOffset>20955</wp:posOffset>
            </wp:positionV>
            <wp:extent cx="38449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44925" cy="8255"/>
                    </a:xfrm>
                    <a:prstGeom prst="rect">
                      <a:avLst/>
                    </a:prstGeom>
                    <a:noFill/>
                  </pic:spPr>
                </pic:pic>
              </a:graphicData>
            </a:graphic>
          </wp:anchor>
        </w:drawing>
      </w:r>
    </w:p>
    <w:p>
      <w:pPr>
        <w:spacing w:after="0" w:line="18"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7"/>
          <w:szCs w:val="17"/>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7137400" cy="140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7400" cy="140335"/>
                    </a:xfrm>
                    <a:prstGeom prst="rect">
                      <a:avLst/>
                    </a:prstGeom>
                    <a:noFill/>
                  </pic:spPr>
                </pic:pic>
              </a:graphicData>
            </a:graphic>
          </wp:anchor>
        </w:drawing>
      </w:r>
    </w:p>
    <w:p>
      <w:pPr>
        <w:spacing w:after="0" w:line="13" w:lineRule="exact"/>
        <w:rPr>
          <w:sz w:val="20"/>
          <w:szCs w:val="20"/>
          <w:color w:val="auto"/>
        </w:rPr>
      </w:pPr>
    </w:p>
    <w:p>
      <w:pPr>
        <w:ind w:left="440"/>
        <w:spacing w:after="0"/>
        <w:tabs>
          <w:tab w:leader="none" w:pos="5180" w:val="left"/>
          <w:tab w:leader="none" w:pos="6220" w:val="left"/>
          <w:tab w:leader="none" w:pos="6800" w:val="left"/>
          <w:tab w:leader="none" w:pos="7720" w:val="left"/>
          <w:tab w:leader="none" w:pos="8400" w:val="left"/>
          <w:tab w:leader="none" w:pos="9060" w:val="left"/>
          <w:tab w:leader="none" w:pos="10760" w:val="left"/>
        </w:tabs>
        <w:rPr>
          <w:sz w:val="20"/>
          <w:szCs w:val="20"/>
          <w:color w:val="auto"/>
        </w:rPr>
      </w:pPr>
      <w:r>
        <w:rPr>
          <w:rFonts w:ascii="Times New Roman" w:cs="Times New Roman" w:eastAsia="Times New Roman" w:hAnsi="Times New Roman"/>
          <w:sz w:val="17"/>
          <w:szCs w:val="17"/>
          <w:color w:val="auto"/>
        </w:rPr>
        <w:t>Income tax benefit</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5,374</w:t>
        <w:tab/>
        <w:t>$</w:t>
      </w:r>
      <w:r>
        <w:rPr>
          <w:sz w:val="20"/>
          <w:szCs w:val="20"/>
          <w:color w:val="auto"/>
        </w:rPr>
        <w:tab/>
      </w:r>
      <w:r>
        <w:rPr>
          <w:rFonts w:ascii="Times New Roman" w:cs="Times New Roman" w:eastAsia="Times New Roman" w:hAnsi="Times New Roman"/>
          <w:sz w:val="17"/>
          <w:szCs w:val="17"/>
          <w:color w:val="auto"/>
        </w:rPr>
        <w:t>17,007</w:t>
        <w:tab/>
        <w:t>$</w:t>
      </w:r>
      <w:r>
        <w:rPr>
          <w:sz w:val="20"/>
          <w:szCs w:val="20"/>
          <w:color w:val="auto"/>
        </w:rPr>
        <w:tab/>
      </w:r>
      <w:r>
        <w:rPr>
          <w:rFonts w:ascii="Times New Roman" w:cs="Times New Roman" w:eastAsia="Times New Roman" w:hAnsi="Times New Roman"/>
          <w:sz w:val="17"/>
          <w:szCs w:val="17"/>
          <w:color w:val="auto"/>
        </w:rPr>
        <w:t>(11,633)</w:t>
      </w:r>
      <w:r>
        <w:rPr>
          <w:sz w:val="20"/>
          <w:szCs w:val="20"/>
          <w:color w:val="auto"/>
        </w:rPr>
        <w:tab/>
      </w:r>
      <w:r>
        <w:rPr>
          <w:rFonts w:ascii="Times New Roman" w:cs="Times New Roman" w:eastAsia="Times New Roman" w:hAnsi="Times New Roman"/>
          <w:sz w:val="17"/>
          <w:szCs w:val="17"/>
          <w:color w:val="auto"/>
        </w:rPr>
        <w:t>(68)%</w:t>
      </w:r>
    </w:p>
    <w:p>
      <w:pPr>
        <w:spacing w:after="0" w:line="306" w:lineRule="exact"/>
        <w:rPr>
          <w:sz w:val="20"/>
          <w:szCs w:val="20"/>
          <w:color w:val="auto"/>
        </w:rPr>
      </w:pPr>
    </w:p>
    <w:p>
      <w:pPr>
        <w:jc w:val="both"/>
        <w:ind w:firstLine="624"/>
        <w:spacing w:after="0" w:line="258" w:lineRule="auto"/>
        <w:rPr>
          <w:sz w:val="20"/>
          <w:szCs w:val="20"/>
          <w:color w:val="auto"/>
        </w:rPr>
      </w:pPr>
      <w:r>
        <w:rPr>
          <w:rFonts w:ascii="Times New Roman" w:cs="Times New Roman" w:eastAsia="Times New Roman" w:hAnsi="Times New Roman"/>
          <w:sz w:val="17"/>
          <w:szCs w:val="17"/>
          <w:color w:val="auto"/>
        </w:rPr>
        <w:t>The Company recorded an income tax benefit of $5.4 million for the three months ended April 30, 2026 compared to an income tax benefit of $17.0 million for the three months ended April 30, 2025, leading to a net benefit decrease of $11.6 million, or 68%, year-over-year. The decrease was primarily due to the decrease in loss before income taxes and discretely recorded tax expense for equity-based compensation in the three months ended April 30, 2026.</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further information, refer to Note 11 “Income Taxes” in our notes to our condensed consolidated financial statements included in this Quarterly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Report.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248"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In addition to our financial information presented in accordance with GAAP, we use certain “non-GAAP financial measures” to clarify and enhance our understanding of past performance.</w:t>
      </w:r>
    </w:p>
    <w:p>
      <w:pPr>
        <w:spacing w:after="0" w:line="172"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Our non-GAAP financial measures may not provide information that is directly comparable to that provided by other companies in our industry because they may calculate non-GAAP financial results differently. In addition, there are limitations in using non-GAAP financial measures because they are not prepared in accordance with GAAP and exclude expenses that may have a material impact on our reported financial results. The presentation of non-GAAP financial information is not meant to be considered in isolation or as a substitute for the directly comparable financial measures prepared in accordance with GAAP. We urge you to review the reconciliations of our non-GAAP financial measures to the comparable GAAP financial measures included below and not to rely on any single financial measure to evaluate our business.</w:t>
      </w:r>
    </w:p>
    <w:p>
      <w:pPr>
        <w:spacing w:after="0" w:line="188" w:lineRule="exact"/>
        <w:rPr>
          <w:sz w:val="20"/>
          <w:szCs w:val="20"/>
          <w:color w:val="auto"/>
        </w:rPr>
      </w:pPr>
    </w:p>
    <w:p>
      <w:pPr>
        <w:jc w:val="both"/>
        <w:ind w:firstLine="624"/>
        <w:spacing w:after="0" w:line="255" w:lineRule="auto"/>
        <w:rPr>
          <w:sz w:val="20"/>
          <w:szCs w:val="20"/>
          <w:color w:val="auto"/>
        </w:rPr>
      </w:pPr>
      <w:r>
        <w:rPr>
          <w:rFonts w:ascii="Times New Roman" w:cs="Times New Roman" w:eastAsia="Times New Roman" w:hAnsi="Times New Roman"/>
          <w:sz w:val="17"/>
          <w:szCs w:val="17"/>
          <w:color w:val="auto"/>
        </w:rPr>
        <w:t>Our non-GAAP financial measures exclude items that do not reflect our ongoing, core operating or business performance, such as equity-based compensation, payroll taxes related to awards that were accelerated upon the closing of our IPO, payroll taxes related to RSUs, amortization of acquired intangible assets, and acquisition-related expenses (including fair value adjustments to acquisition-contingent consideration). We believe these adjustments enable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management and investors to compare our underlying business performance from period to period and provide investors with additional means to evaluate cost and expense trends. We also believe these adjustments enhance comparability of our financial performance against those of other technology companies. Accordingly, we believe the presentation of our non-GAAP financial measures provides useful information to investors regarding our financial condition and results of operations. In addition, we use adjusted income (loss) from operations for budgeting and planning purposes, including with respect to our corporate bonus plan.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Adjusted Gross Profit and Adjusted Gross Profit Margin</w:t>
      </w:r>
    </w:p>
    <w:p>
      <w:pPr>
        <w:spacing w:after="0" w:line="235" w:lineRule="exact"/>
        <w:rPr>
          <w:sz w:val="20"/>
          <w:szCs w:val="20"/>
          <w:color w:val="auto"/>
        </w:rPr>
      </w:pPr>
    </w:p>
    <w:p>
      <w:pPr>
        <w:jc w:val="both"/>
        <w:ind w:firstLine="624"/>
        <w:spacing w:after="0" w:line="258" w:lineRule="auto"/>
        <w:rPr>
          <w:sz w:val="20"/>
          <w:szCs w:val="20"/>
          <w:color w:val="auto"/>
        </w:rPr>
      </w:pPr>
      <w:r>
        <w:rPr>
          <w:rFonts w:ascii="Times New Roman" w:cs="Times New Roman" w:eastAsia="Times New Roman" w:hAnsi="Times New Roman"/>
          <w:sz w:val="17"/>
          <w:szCs w:val="17"/>
          <w:color w:val="auto"/>
        </w:rPr>
        <w:t>We define adjusted gross profit as gross profit excluding equity-based compensation expense, payroll taxes related to awards that were accelerated upon the closing of our IPO and payroll taxes related to RSUs, amortization of acquired intangible assets, which includes impairment charges, impairment of intangible assets, acquisition-related expenses and restructuring expenses.. We define adjusted gross profit margin as adjusted gross profit divided by total revenue.</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reflects the reconciliation of adjusted gross profit to gross 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95"/>
        </w:trPr>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838"/>
        </w:trPr>
        <w:tc>
          <w:tcPr>
            <w:tcW w:w="1240" w:type="dxa"/>
            <w:vAlign w:val="bottom"/>
            <w:tcBorders>
              <w:top w:val="single" w:sz="8" w:color="0000FF"/>
            </w:tcBorders>
          </w:tcPr>
          <w:p>
            <w:pPr>
              <w:spacing w:after="0"/>
              <w:rPr>
                <w:sz w:val="24"/>
                <w:szCs w:val="24"/>
                <w:color w:val="auto"/>
              </w:rPr>
            </w:pPr>
          </w:p>
        </w:tc>
        <w:tc>
          <w:tcPr>
            <w:tcW w:w="6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4"/>
          </w:tcPr>
          <w:p>
            <w:pPr>
              <w:jc w:val="right"/>
              <w:ind w:right="693"/>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r>
      <w:tr>
        <w:trPr>
          <w:trHeight w:val="214"/>
        </w:trPr>
        <w:tc>
          <w:tcPr>
            <w:tcW w:w="124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4"/>
        </w:trPr>
        <w:tc>
          <w:tcPr>
            <w:tcW w:w="124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60" w:type="dxa"/>
            <w:vAlign w:val="bottom"/>
            <w:gridSpan w:val="4"/>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(In thousands, except percentages)</w:t>
            </w:r>
          </w:p>
        </w:tc>
      </w:tr>
      <w:tr>
        <w:trPr>
          <w:trHeight w:val="221"/>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gross profit</w:t>
            </w: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181,112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127,655</w:t>
            </w:r>
          </w:p>
        </w:tc>
      </w:tr>
      <w:tr>
        <w:trPr>
          <w:trHeight w:val="221"/>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GAAP gross profit margin</w:t>
            </w:r>
          </w:p>
        </w:tc>
        <w:tc>
          <w:tcPr>
            <w:tcW w:w="3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55 %</w:t>
            </w:r>
          </w:p>
        </w:tc>
      </w:tr>
      <w:tr>
        <w:trPr>
          <w:trHeight w:val="221"/>
        </w:trPr>
        <w:tc>
          <w:tcPr>
            <w:tcW w:w="7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3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6,529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21,592</w:t>
            </w:r>
          </w:p>
        </w:tc>
      </w:tr>
      <w:tr>
        <w:trPr>
          <w:trHeight w:val="221"/>
        </w:trPr>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Payroll taxes for IPO-accelerated awards and RSUs</w:t>
            </w:r>
          </w:p>
        </w:tc>
        <w:tc>
          <w:tcPr>
            <w:tcW w:w="380" w:type="dxa"/>
            <w:vAlign w:val="bottom"/>
          </w:tcPr>
          <w:p>
            <w:pPr>
              <w:spacing w:after="0"/>
              <w:rPr>
                <w:sz w:val="19"/>
                <w:szCs w:val="19"/>
                <w:color w:val="auto"/>
              </w:rPr>
            </w:pPr>
          </w:p>
        </w:tc>
        <w:tc>
          <w:tcPr>
            <w:tcW w:w="14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244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634</w:t>
            </w:r>
          </w:p>
        </w:tc>
      </w:tr>
      <w:tr>
        <w:trPr>
          <w:trHeight w:val="221"/>
        </w:trPr>
        <w:tc>
          <w:tcPr>
            <w:tcW w:w="7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Amortization of acquired intangible assets</w:t>
            </w:r>
          </w:p>
        </w:tc>
        <w:tc>
          <w:tcPr>
            <w:tcW w:w="3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26,831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26,060</w:t>
            </w:r>
          </w:p>
        </w:tc>
      </w:tr>
      <w:tr>
        <w:trPr>
          <w:trHeight w:val="214"/>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gross profit</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214,716</w:t>
            </w:r>
          </w:p>
        </w:tc>
        <w:tc>
          <w:tcPr>
            <w:tcW w:w="120" w:type="dxa"/>
            <w:vAlign w:val="bottom"/>
          </w:tcPr>
          <w:p>
            <w:pPr>
              <w:spacing w:after="0"/>
              <w:rPr>
                <w:sz w:val="18"/>
                <w:szCs w:val="18"/>
                <w:color w:val="auto"/>
              </w:rPr>
            </w:pP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175,941</w:t>
            </w:r>
          </w:p>
        </w:tc>
      </w:tr>
      <w:tr>
        <w:trPr>
          <w:trHeight w:val="221"/>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gross profit margin</w:t>
            </w:r>
          </w:p>
        </w:tc>
        <w:tc>
          <w:tcPr>
            <w:tcW w:w="3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76 %</w:t>
            </w: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adjusted gross profit margin has remained generally consistent in recent periods and reflects the high value-added nature of our offerings.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Adjusted Subscription Gross Profit and Adjusted Subscription Gross Profit Margin</w:t>
      </w:r>
    </w:p>
    <w:p>
      <w:pPr>
        <w:spacing w:after="0" w:line="235" w:lineRule="exact"/>
        <w:rPr>
          <w:sz w:val="20"/>
          <w:szCs w:val="20"/>
          <w:color w:val="auto"/>
        </w:rPr>
      </w:pPr>
    </w:p>
    <w:p>
      <w:pPr>
        <w:jc w:val="both"/>
        <w:ind w:firstLine="624"/>
        <w:spacing w:after="0" w:line="246" w:lineRule="auto"/>
        <w:rPr>
          <w:sz w:val="20"/>
          <w:szCs w:val="20"/>
          <w:color w:val="auto"/>
        </w:rPr>
      </w:pPr>
      <w:r>
        <w:rPr>
          <w:rFonts w:ascii="Times New Roman" w:cs="Times New Roman" w:eastAsia="Times New Roman" w:hAnsi="Times New Roman"/>
          <w:sz w:val="17"/>
          <w:szCs w:val="17"/>
          <w:color w:val="auto"/>
        </w:rPr>
        <w:t>We define adjusted subscription gross profit as subscription gross profit excluding equity-based compensation expense, payroll taxes related to awards that were accelerated upon the closing of our IPO and payroll taxes related to RSUs, all of which were issued after the closing of the IPO, amortization of acquired intangible assets, which include impairment charges, impairment of intangible assets, acquisition-related expenses and restructuring expenses. We define adjusted subscription gross profit margin as adjusted subscription gross profit divided by subscription revenue.</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reflects the reconciliation of adjusted subscription gross profit to subscription gross profit: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4"/>
          </w:tcPr>
          <w:p>
            <w:pPr>
              <w:jc w:val="right"/>
              <w:ind w:right="693"/>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r>
      <w:tr>
        <w:trPr>
          <w:trHeight w:val="214"/>
        </w:trPr>
        <w:tc>
          <w:tcPr>
            <w:tcW w:w="74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4"/>
        </w:trPr>
        <w:tc>
          <w:tcPr>
            <w:tcW w:w="7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60" w:type="dxa"/>
            <w:vAlign w:val="bottom"/>
            <w:gridSpan w:val="4"/>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(In thousands, except percentages)</w:t>
            </w:r>
          </w:p>
        </w:tc>
      </w:tr>
      <w:tr>
        <w:trPr>
          <w:trHeight w:val="22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subscription gross profit</w:t>
            </w: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185,601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139,832</w:t>
            </w:r>
          </w:p>
        </w:tc>
      </w:tr>
      <w:tr>
        <w:trPr>
          <w:trHeight w:val="221"/>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GAAP subscription gross profit margin</w:t>
            </w:r>
          </w:p>
        </w:tc>
        <w:tc>
          <w:tcPr>
            <w:tcW w:w="3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65 %</w:t>
            </w:r>
          </w:p>
        </w:tc>
      </w:tr>
      <w:tr>
        <w:trPr>
          <w:trHeight w:val="221"/>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3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4,611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11,264</w:t>
            </w:r>
          </w:p>
        </w:tc>
      </w:tr>
      <w:tr>
        <w:trPr>
          <w:trHeight w:val="221"/>
        </w:trPr>
        <w:tc>
          <w:tcPr>
            <w:tcW w:w="7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Payroll taxes for IPO-accelerated awards and RSUs</w:t>
            </w:r>
          </w:p>
        </w:tc>
        <w:tc>
          <w:tcPr>
            <w:tcW w:w="380" w:type="dxa"/>
            <w:vAlign w:val="bottom"/>
          </w:tcPr>
          <w:p>
            <w:pPr>
              <w:spacing w:after="0"/>
              <w:rPr>
                <w:sz w:val="19"/>
                <w:szCs w:val="19"/>
                <w:color w:val="auto"/>
              </w:rPr>
            </w:pPr>
          </w:p>
        </w:tc>
        <w:tc>
          <w:tcPr>
            <w:tcW w:w="14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136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332</w:t>
            </w:r>
          </w:p>
        </w:tc>
      </w:tr>
      <w:tr>
        <w:trPr>
          <w:trHeight w:val="221"/>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Amortization of acquired intangible assets</w:t>
            </w:r>
          </w:p>
        </w:tc>
        <w:tc>
          <w:tcPr>
            <w:tcW w:w="3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26,831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26,058</w:t>
            </w:r>
          </w:p>
        </w:tc>
      </w:tr>
      <w:tr>
        <w:trPr>
          <w:trHeight w:val="214"/>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subscription gross profit</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217,179</w:t>
            </w:r>
          </w:p>
        </w:tc>
        <w:tc>
          <w:tcPr>
            <w:tcW w:w="120" w:type="dxa"/>
            <w:vAlign w:val="bottom"/>
          </w:tcPr>
          <w:p>
            <w:pPr>
              <w:spacing w:after="0"/>
              <w:rPr>
                <w:sz w:val="18"/>
                <w:szCs w:val="18"/>
                <w:color w:val="auto"/>
              </w:rPr>
            </w:pP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177,486</w:t>
            </w:r>
          </w:p>
        </w:tc>
      </w:tr>
      <w:tr>
        <w:trPr>
          <w:trHeight w:val="22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subscription gross profit margin</w:t>
            </w:r>
          </w:p>
        </w:tc>
        <w:tc>
          <w:tcPr>
            <w:tcW w:w="3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82 %</w:t>
            </w:r>
          </w:p>
        </w:tc>
      </w:tr>
    </w:tbl>
    <w:p>
      <w:pPr>
        <w:spacing w:after="0" w:line="306"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Our adjusted subscription gross profit margin for the three months ended April 30, 2026 and 2025 has remained generally consistent and reflects the high value-added nature of our offerings.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Adjusted Income from Operations and Adjusted Operating Margin</w:t>
      </w:r>
    </w:p>
    <w:p>
      <w:pPr>
        <w:spacing w:after="0" w:line="248" w:lineRule="exact"/>
        <w:rPr>
          <w:sz w:val="20"/>
          <w:szCs w:val="20"/>
          <w:color w:val="auto"/>
        </w:rPr>
      </w:pPr>
    </w:p>
    <w:p>
      <w:pPr>
        <w:jc w:val="both"/>
        <w:ind w:firstLine="624"/>
        <w:spacing w:after="0" w:line="261" w:lineRule="auto"/>
        <w:rPr>
          <w:sz w:val="20"/>
          <w:szCs w:val="20"/>
          <w:color w:val="auto"/>
        </w:rPr>
      </w:pPr>
      <w:r>
        <w:rPr>
          <w:rFonts w:ascii="Times New Roman" w:cs="Times New Roman" w:eastAsia="Times New Roman" w:hAnsi="Times New Roman"/>
          <w:sz w:val="17"/>
          <w:szCs w:val="17"/>
          <w:color w:val="auto"/>
        </w:rPr>
        <w:t>We define adjusted income from operations as income (loss) from operations excluding equity-based compensation expense, payroll taxes related to awards that were accelerated upon the closing of our IPO and payroll taxes related to RSUs, all of which were issued after the closing of the IPO, amortization of acquired intangible assets which includes impairment charges, impairment of intangible assets, benefit from amortization related to acquired contract acquisition costs, acquisition-related expenses (including fair value adjustments to acquisition-contingent consideration), Thoma Bravo monitoring fees (which were annual service fees for consultation and advice related to corporate strategy, budgeting of future corporate investments, acquisition and divestiture strategies, and debt and equity financings), and restructuring expenses. The Thoma Bravo monitoring fees were incurred pursuant to a services agreement that was terminated upon the closing of the IPO, and we do not expect to receive similar services in the future or enter into a similar arrangement again in the future.</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reflects the reconciliation of adjusted income (loss) from operations to operating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5"/>
        </w:trPr>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838"/>
        </w:trPr>
        <w:tc>
          <w:tcPr>
            <w:tcW w:w="1240" w:type="dxa"/>
            <w:vAlign w:val="bottom"/>
            <w:tcBorders>
              <w:top w:val="single" w:sz="8" w:color="0000FF"/>
            </w:tcBorders>
          </w:tcPr>
          <w:p>
            <w:pPr>
              <w:spacing w:after="0"/>
              <w:rPr>
                <w:sz w:val="24"/>
                <w:szCs w:val="24"/>
                <w:color w:val="auto"/>
              </w:rPr>
            </w:pPr>
          </w:p>
        </w:tc>
        <w:tc>
          <w:tcPr>
            <w:tcW w:w="6160" w:type="dxa"/>
            <w:vAlign w:val="bottom"/>
          </w:tcPr>
          <w:p>
            <w:pPr>
              <w:spacing w:after="0"/>
              <w:rPr>
                <w:sz w:val="24"/>
                <w:szCs w:val="24"/>
                <w:color w:val="auto"/>
              </w:rPr>
            </w:pPr>
          </w:p>
        </w:tc>
        <w:tc>
          <w:tcPr>
            <w:tcW w:w="3840" w:type="dxa"/>
            <w:vAlign w:val="bottom"/>
            <w:tcBorders>
              <w:bottom w:val="single" w:sz="8" w:color="auto"/>
            </w:tcBorders>
            <w:gridSpan w:val="5"/>
          </w:tcPr>
          <w:p>
            <w:pPr>
              <w:jc w:val="right"/>
              <w:ind w:right="693"/>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r>
      <w:tr>
        <w:trPr>
          <w:trHeight w:val="214"/>
        </w:trPr>
        <w:tc>
          <w:tcPr>
            <w:tcW w:w="124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4"/>
        </w:trPr>
        <w:tc>
          <w:tcPr>
            <w:tcW w:w="124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840" w:type="dxa"/>
            <w:vAlign w:val="bottom"/>
            <w:gridSpan w:val="5"/>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(In thousands, except percentages)</w:t>
            </w:r>
          </w:p>
        </w:tc>
      </w:tr>
      <w:tr>
        <w:trPr>
          <w:trHeight w:val="221"/>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loss from operations</w:t>
            </w:r>
          </w:p>
        </w:tc>
        <w:tc>
          <w:tcPr>
            <w:tcW w:w="110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9"/>
              </w:rPr>
              <w:t>(79,826)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(184,965)</w:t>
            </w:r>
          </w:p>
        </w:tc>
      </w:tr>
      <w:tr>
        <w:trPr>
          <w:trHeight w:val="221"/>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GAAP loss from operations margin</w:t>
            </w:r>
          </w:p>
        </w:tc>
        <w:tc>
          <w:tcPr>
            <w:tcW w:w="1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21"/>
        </w:trPr>
        <w:tc>
          <w:tcPr>
            <w:tcW w:w="7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1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69,122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160,459</w:t>
            </w:r>
          </w:p>
        </w:tc>
      </w:tr>
      <w:tr>
        <w:trPr>
          <w:trHeight w:val="221"/>
        </w:trPr>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Payroll taxes for IPO-accelerated awards and RSUs</w:t>
            </w:r>
          </w:p>
        </w:tc>
        <w:tc>
          <w:tcPr>
            <w:tcW w:w="1100" w:type="dxa"/>
            <w:vAlign w:val="bottom"/>
          </w:tcPr>
          <w:p>
            <w:pPr>
              <w:spacing w:after="0"/>
              <w:rPr>
                <w:sz w:val="19"/>
                <w:szCs w:val="19"/>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1,697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3,399</w:t>
            </w:r>
          </w:p>
        </w:tc>
      </w:tr>
      <w:tr>
        <w:trPr>
          <w:trHeight w:val="221"/>
        </w:trPr>
        <w:tc>
          <w:tcPr>
            <w:tcW w:w="7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Amortization of acquired intangible assets</w:t>
            </w:r>
          </w:p>
        </w:tc>
        <w:tc>
          <w:tcPr>
            <w:tcW w:w="1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50,765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49,912</w:t>
            </w:r>
          </w:p>
        </w:tc>
      </w:tr>
      <w:tr>
        <w:trPr>
          <w:trHeight w:val="221"/>
        </w:trPr>
        <w:tc>
          <w:tcPr>
            <w:tcW w:w="7400" w:type="dxa"/>
            <w:vAlign w:val="bottom"/>
            <w:gridSpan w:val="2"/>
          </w:tcPr>
          <w:p>
            <w:pPr>
              <w:ind w:left="120"/>
              <w:spacing w:after="0" w:line="221" w:lineRule="exact"/>
              <w:rPr>
                <w:sz w:val="20"/>
                <w:szCs w:val="20"/>
                <w:color w:val="auto"/>
              </w:rPr>
            </w:pPr>
            <w:r>
              <w:rPr>
                <w:rFonts w:ascii="Times New Roman" w:cs="Times New Roman" w:eastAsia="Times New Roman" w:hAnsi="Times New Roman"/>
                <w:sz w:val="17"/>
                <w:szCs w:val="17"/>
                <w:color w:val="auto"/>
              </w:rPr>
              <w:t xml:space="preserve">Amortization of acquired contract acquisition costs </w:t>
            </w:r>
            <w:r>
              <w:rPr>
                <w:rFonts w:ascii="Times New Roman" w:cs="Times New Roman" w:eastAsia="Times New Roman" w:hAnsi="Times New Roman"/>
                <w:sz w:val="22"/>
                <w:szCs w:val="22"/>
                <w:color w:val="auto"/>
                <w:vertAlign w:val="superscript"/>
              </w:rPr>
              <w:t>(1)</w:t>
            </w:r>
          </w:p>
        </w:tc>
        <w:tc>
          <w:tcPr>
            <w:tcW w:w="1100" w:type="dxa"/>
            <w:vAlign w:val="bottom"/>
          </w:tcPr>
          <w:p>
            <w:pPr>
              <w:spacing w:after="0"/>
              <w:rPr>
                <w:sz w:val="19"/>
                <w:szCs w:val="19"/>
                <w:color w:val="auto"/>
              </w:rPr>
            </w:pPr>
          </w:p>
        </w:tc>
        <w:tc>
          <w:tcPr>
            <w:tcW w:w="7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(3,915)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(5,764)</w:t>
            </w:r>
          </w:p>
        </w:tc>
      </w:tr>
      <w:tr>
        <w:trPr>
          <w:trHeight w:val="221"/>
        </w:trPr>
        <w:tc>
          <w:tcPr>
            <w:tcW w:w="7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Acquisition-related expenses and Thoma Bravo monitoring fees</w:t>
            </w:r>
          </w:p>
        </w:tc>
        <w:tc>
          <w:tcPr>
            <w:tcW w:w="1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580</w:t>
            </w:r>
          </w:p>
        </w:tc>
      </w:tr>
      <w:tr>
        <w:trPr>
          <w:trHeight w:val="214"/>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income from operations</w:t>
            </w:r>
          </w:p>
        </w:tc>
        <w:tc>
          <w:tcPr>
            <w:tcW w:w="1100" w:type="dxa"/>
            <w:vAlign w:val="bottom"/>
            <w:tcBorders>
              <w:top w:val="single" w:sz="8" w:color="auto"/>
            </w:tcBorders>
          </w:tcPr>
          <w:p>
            <w:pPr>
              <w:jc w:val="right"/>
              <w:ind w:right="91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37,843</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23,621</w:t>
            </w:r>
          </w:p>
        </w:tc>
      </w:tr>
      <w:tr>
        <w:trPr>
          <w:trHeight w:val="221"/>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operating margin</w:t>
            </w:r>
          </w:p>
        </w:tc>
        <w:tc>
          <w:tcPr>
            <w:tcW w:w="1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r>
    </w:tbl>
    <w:p>
      <w:pPr>
        <w:spacing w:after="0" w:line="229" w:lineRule="exact"/>
        <w:rPr>
          <w:sz w:val="20"/>
          <w:szCs w:val="20"/>
          <w:color w:val="auto"/>
        </w:rPr>
      </w:pPr>
    </w:p>
    <w:p>
      <w:pPr>
        <w:jc w:val="both"/>
        <w:ind w:left="160" w:hanging="156"/>
        <w:spacing w:after="0" w:line="247" w:lineRule="auto"/>
        <w:tabs>
          <w:tab w:leader="none" w:pos="199"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GAAP reporting requirements, the Company has written off its contract acquisition costs at the time when the Company was acquired in an all-cash take-private transaction by Thoma Bravo on August 16, 2022. Therefore, GAAP commissions expense related to contract acquisition costs after August 16, 2022 do not reflect the commissions expense that would have been reported if the contract acquisition costs had not been written off. Accordingly, the Company believes that presenting the approximate amount of acquisition-related commission expenses (so that the full amount of commission expense is included) provides a more appropriate representation of commission expense in a given period and, therefore, provides readers of the Company’s financial statements with a more consistent basis for comparison across accounting periods.</w:t>
      </w:r>
    </w:p>
    <w:p>
      <w:pPr>
        <w:spacing w:after="0" w:line="288"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Our adjusted income from operations and adjusted operating margin increased for the three months ended April 30, 2026 compared to the three months ended April 30, 2025, primarily due to the growth in our overall business and increased operating leverage.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Free Cash Flow</w:t>
      </w:r>
    </w:p>
    <w:p>
      <w:pPr>
        <w:spacing w:after="0" w:line="248"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We define free cash flow as net cash provided by (used in) operating activities, less cash used for purchases of property and equipment, and capitalized software development costs. We use free cash flow as a measure of financial progress in our business, as it balances operating results, cash management, and capital efficiency. We believe information regarding free cash flow provides investors and others with an important perspective on the cash available to make strategic acquisitions and investments, to fund ongoing operations, and to fund other capital expenditures. Free cash flow can be volatile and is sensitive to many factors, including changes in working capital and timing of capital expenditures. Working capital at any specific point in time is subject to many variables including the discretionary timing of expense payments and fluctuations in foreign exchange rates.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1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free cash flow for the periods presented:</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51"/>
        </w:trPr>
        <w:tc>
          <w:tcPr>
            <w:tcW w:w="8160" w:type="dxa"/>
            <w:vAlign w:val="bottom"/>
          </w:tcPr>
          <w:p>
            <w:pPr>
              <w:spacing w:after="0"/>
              <w:rPr>
                <w:sz w:val="24"/>
                <w:szCs w:val="24"/>
                <w:color w:val="auto"/>
              </w:rPr>
            </w:pPr>
          </w:p>
        </w:tc>
        <w:tc>
          <w:tcPr>
            <w:tcW w:w="3080" w:type="dxa"/>
            <w:vAlign w:val="bottom"/>
            <w:tcBorders>
              <w:bottom w:val="single" w:sz="8" w:color="auto"/>
            </w:tcBorders>
            <w:gridSpan w:val="5"/>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r>
      <w:tr>
        <w:trPr>
          <w:trHeight w:val="214"/>
        </w:trPr>
        <w:tc>
          <w:tcPr>
            <w:tcW w:w="8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4"/>
        </w:trPr>
        <w:tc>
          <w:tcPr>
            <w:tcW w:w="8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960" w:type="dxa"/>
            <w:vAlign w:val="bottom"/>
          </w:tcPr>
          <w:p>
            <w:pPr>
              <w:spacing w:after="0"/>
              <w:rPr>
                <w:sz w:val="18"/>
                <w:szCs w:val="18"/>
                <w:color w:val="auto"/>
              </w:rPr>
            </w:pPr>
          </w:p>
        </w:tc>
      </w:tr>
      <w:tr>
        <w:trPr>
          <w:trHeight w:val="221"/>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net cash provided by (used in) operating activities</w:t>
            </w: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38,241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(96,807)</w:t>
            </w:r>
          </w:p>
        </w:tc>
      </w:tr>
      <w:tr>
        <w:trPr>
          <w:trHeight w:val="221"/>
        </w:trPr>
        <w:tc>
          <w:tcPr>
            <w:tcW w:w="8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Less: Purchase of property and equipment</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(2,191)</w:t>
            </w:r>
          </w:p>
        </w:tc>
      </w:tr>
      <w:tr>
        <w:trPr>
          <w:trHeight w:val="221"/>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Less: Capitalized software development costs</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(1,706)</w:t>
            </w:r>
          </w:p>
        </w:tc>
      </w:tr>
      <w:tr>
        <w:trPr>
          <w:trHeight w:val="219"/>
        </w:trPr>
        <w:tc>
          <w:tcPr>
            <w:tcW w:w="8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Free cash flow</w:t>
            </w: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32,520</w:t>
            </w:r>
          </w:p>
        </w:tc>
        <w:tc>
          <w:tcPr>
            <w:tcW w:w="100" w:type="dxa"/>
            <w:vAlign w:val="bottom"/>
          </w:tcPr>
          <w:p>
            <w:pPr>
              <w:spacing w:after="0"/>
              <w:rPr>
                <w:sz w:val="19"/>
                <w:szCs w:val="19"/>
                <w:color w:val="auto"/>
              </w:rPr>
            </w:pPr>
          </w:p>
        </w:tc>
        <w:tc>
          <w:tcPr>
            <w:tcW w:w="5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(100,704)</w:t>
            </w:r>
          </w:p>
        </w:tc>
      </w:tr>
    </w:tbl>
    <w:p>
      <w:pPr>
        <w:spacing w:after="0" w:line="184" w:lineRule="exact"/>
        <w:rPr>
          <w:sz w:val="20"/>
          <w:szCs w:val="20"/>
          <w:color w:val="auto"/>
        </w:rPr>
      </w:pPr>
    </w:p>
    <w:p>
      <w:pPr>
        <w:jc w:val="both"/>
        <w:ind w:firstLine="468"/>
        <w:spacing w:after="0" w:line="292" w:lineRule="auto"/>
        <w:rPr>
          <w:sz w:val="20"/>
          <w:szCs w:val="20"/>
          <w:color w:val="auto"/>
        </w:rPr>
      </w:pPr>
      <w:r>
        <w:rPr>
          <w:rFonts w:ascii="Times New Roman" w:cs="Times New Roman" w:eastAsia="Times New Roman" w:hAnsi="Times New Roman"/>
          <w:sz w:val="17"/>
          <w:szCs w:val="17"/>
          <w:color w:val="auto"/>
        </w:rPr>
        <w:t>Our free cash flow for the three months ended April 30, 2026 increased when compared to the three months ended April 30, 2025, primarily due to a lower net operating loss from higher revenue growth compared to the prior period. Free cash flow for the three months ended April 30, 2025 includes $78.5 million of cash paid to settle equity related awards, cash awards and their associated payroll taxes upon the closing of our IPO, $36.6 million in cash paid for interest expense related to our 2022 Credit Agreement, and $9.3 million of cash paid for fees under our advisory services agreement with Thoma Bravo, which was terminated upon the closing of our IPO.</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Capital Resources and Cash Requirements</w:t>
      </w:r>
    </w:p>
    <w:p>
      <w:pPr>
        <w:spacing w:after="0" w:line="222"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We believe we have sufficient sources of funding to meet our business requirements for the next 12 months and in the longer term. Our primary sources of liquidity are cash flows from operations and proceeds from the IPO, which are supplemented by our undrawn 2025 Revolving Credit Facility. As of April 30, 2026, we had cash and cash equivalents totaling $390.8 million. Our primary uses of liquidity are operating expenses, working capital requirements, capital expenditures and acquisitions.</w:t>
      </w:r>
    </w:p>
    <w:p>
      <w:pPr>
        <w:spacing w:after="0" w:line="170"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Although cash flows from operations have been historically negative, in each fiscal quarter since the three months ended July 31, 2025 through the three months ended April 30, 2026, we have had positive cash flows from operations. We expect to continue to incur positive cash flows from operations in the foreseeable future.</w:t>
      </w:r>
    </w:p>
    <w:p>
      <w:pPr>
        <w:spacing w:after="0" w:line="162"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Our future capital requirements will depend on many factors, including but not limited to our revenue growth rate, timing of cash receipt and payments, and the timing and extent of spending to support strategic initiatives. We may also enter into arrangements to acquire or invest in complementary businesses, services, and technologies.</w:t>
      </w:r>
    </w:p>
    <w:p>
      <w:pPr>
        <w:spacing w:after="0" w:line="162"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To the extent existing cash and cash equivalents are not sufficient to fund future activities, we may borrow under our 2025 Revolving Credit Facility or seek to raise additional funds through equity, equity-linked or debt financings. We may enter into agreements or letters of intent with respect to potential investments in, or acquisitions of, complementary businesses, services or technologies, which could also require us to seek additional equity financing, incur indebtedness or use cash resources.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operating results and financial condition would be adversely affected.</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231F20"/>
        </w:rPr>
        <w:t>2025 Credit Agreement</w:t>
      </w:r>
    </w:p>
    <w:p>
      <w:pPr>
        <w:spacing w:after="0" w:line="159" w:lineRule="exact"/>
        <w:rPr>
          <w:sz w:val="20"/>
          <w:szCs w:val="20"/>
          <w:color w:val="auto"/>
        </w:rPr>
      </w:pPr>
    </w:p>
    <w:p>
      <w:pPr>
        <w:jc w:val="both"/>
        <w:ind w:firstLine="624"/>
        <w:spacing w:after="0" w:line="248" w:lineRule="auto"/>
        <w:rPr>
          <w:sz w:val="20"/>
          <w:szCs w:val="20"/>
          <w:color w:val="auto"/>
        </w:rPr>
      </w:pPr>
      <w:r>
        <w:rPr>
          <w:rFonts w:ascii="Times New Roman" w:cs="Times New Roman" w:eastAsia="Times New Roman" w:hAnsi="Times New Roman"/>
          <w:sz w:val="17"/>
          <w:szCs w:val="17"/>
          <w:color w:val="231F20"/>
        </w:rPr>
        <w:t xml:space="preserve">On June 25, 2025, we entered into the 2025 Credit Agreement, which provides for a </w:t>
      </w:r>
      <w:r>
        <w:rPr>
          <w:rFonts w:ascii="Times New Roman" w:cs="Times New Roman" w:eastAsia="Times New Roman" w:hAnsi="Times New Roman"/>
          <w:sz w:val="17"/>
          <w:szCs w:val="17"/>
          <w:color w:val="000000"/>
        </w:rPr>
        <w:t>five</w:t>
      </w:r>
      <w:r>
        <w:rPr>
          <w:rFonts w:ascii="Times New Roman" w:cs="Times New Roman" w:eastAsia="Times New Roman" w:hAnsi="Times New Roman"/>
          <w:sz w:val="17"/>
          <w:szCs w:val="17"/>
          <w:color w:val="231F20"/>
        </w:rPr>
        <w:t xml:space="preserve">-year </w:t>
      </w:r>
      <w:r>
        <w:rPr>
          <w:rFonts w:ascii="Times New Roman" w:cs="Times New Roman" w:eastAsia="Times New Roman" w:hAnsi="Times New Roman"/>
          <w:sz w:val="17"/>
          <w:szCs w:val="17"/>
          <w:color w:val="000000"/>
        </w:rPr>
        <w:t>$250.0 million</w:t>
      </w:r>
      <w:r>
        <w:rPr>
          <w:rFonts w:ascii="Times New Roman" w:cs="Times New Roman" w:eastAsia="Times New Roman" w:hAnsi="Times New Roman"/>
          <w:sz w:val="17"/>
          <w:szCs w:val="17"/>
          <w:color w:val="231F20"/>
        </w:rPr>
        <w:t xml:space="preserve"> secured revolving credit facility, including a letter of credit sub-facility of up to </w:t>
      </w:r>
      <w:r>
        <w:rPr>
          <w:rFonts w:ascii="Times New Roman" w:cs="Times New Roman" w:eastAsia="Times New Roman" w:hAnsi="Times New Roman"/>
          <w:sz w:val="17"/>
          <w:szCs w:val="17"/>
          <w:color w:val="000000"/>
        </w:rPr>
        <w:t>$10.0 million</w:t>
      </w:r>
      <w:r>
        <w:rPr>
          <w:rFonts w:ascii="Times New Roman" w:cs="Times New Roman" w:eastAsia="Times New Roman" w:hAnsi="Times New Roman"/>
          <w:sz w:val="17"/>
          <w:szCs w:val="17"/>
          <w:color w:val="231F20"/>
        </w:rPr>
        <w:t xml:space="preserve">. The 2025 Revolving Credit Facility matures on June 25, 2030. </w:t>
      </w:r>
      <w:r>
        <w:rPr>
          <w:rFonts w:ascii="Times New Roman" w:cs="Times New Roman" w:eastAsia="Times New Roman" w:hAnsi="Times New Roman"/>
          <w:sz w:val="17"/>
          <w:szCs w:val="17"/>
          <w:color w:val="000000"/>
        </w:rPr>
        <w:t>Borrowings under the 2025 Revolving Credit</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 xml:space="preserve">Facility may be used to provide ongoing working capital as well as for other general corporate purposes of the Company. </w:t>
      </w:r>
      <w:r>
        <w:rPr>
          <w:rFonts w:ascii="Times New Roman" w:cs="Times New Roman" w:eastAsia="Times New Roman" w:hAnsi="Times New Roman"/>
          <w:sz w:val="17"/>
          <w:szCs w:val="17"/>
          <w:color w:val="231F20"/>
        </w:rPr>
        <w:t>The Company had no outstanding 2025</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31F20"/>
        </w:rPr>
        <w:t xml:space="preserve">Revolving Credit Facility balance and was in compliance with all applicable covenants as of April 30, 2026. See Note </w:t>
      </w:r>
      <w:r>
        <w:rPr>
          <w:rFonts w:ascii="Times New Roman" w:cs="Times New Roman" w:eastAsia="Times New Roman" w:hAnsi="Times New Roman"/>
          <w:sz w:val="17"/>
          <w:szCs w:val="17"/>
          <w:color w:val="000000"/>
        </w:rPr>
        <w:t>7</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Credit Agreement and Debt</w:t>
      </w:r>
      <w:r>
        <w:rPr>
          <w:rFonts w:ascii="Times New Roman" w:cs="Times New Roman" w:eastAsia="Times New Roman" w:hAnsi="Times New Roman"/>
          <w:sz w:val="17"/>
          <w:szCs w:val="17"/>
          <w:color w:val="231F20"/>
        </w:rPr>
        <w:t>” in the notes to our condensed consolidated financial statements included in this Quarterly Report for more information regarding the 2025 Credit Agreement.</w:t>
      </w:r>
    </w:p>
    <w:p>
      <w:pPr>
        <w:spacing w:after="0" w:line="1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231F20"/>
        </w:rPr>
        <w:t>2022 Credit Agreement</w:t>
      </w:r>
    </w:p>
    <w:p>
      <w:pPr>
        <w:spacing w:after="0" w:line="250" w:lineRule="exact"/>
        <w:rPr>
          <w:sz w:val="20"/>
          <w:szCs w:val="20"/>
          <w:color w:val="auto"/>
        </w:rPr>
      </w:pPr>
    </w:p>
    <w:p>
      <w:pPr>
        <w:jc w:val="both"/>
        <w:ind w:firstLine="624"/>
        <w:spacing w:after="0" w:line="258" w:lineRule="auto"/>
        <w:rPr>
          <w:sz w:val="20"/>
          <w:szCs w:val="20"/>
          <w:color w:val="auto"/>
        </w:rPr>
      </w:pPr>
      <w:r>
        <w:rPr>
          <w:rFonts w:ascii="Times New Roman" w:cs="Times New Roman" w:eastAsia="Times New Roman" w:hAnsi="Times New Roman"/>
          <w:sz w:val="17"/>
          <w:szCs w:val="17"/>
          <w:color w:val="auto"/>
        </w:rPr>
        <w:t>On August 16, 2022, we entered into the 2022 Credit Agreement. The 2022 Credit Agreement provided for (i) a six-year $125.0 million senior secured revolving credit facility, including a letter of credit sub-facility of up to $5.0 million and (ii) the Term Loans. On June 25, 2025, the 2022 Credit Agreement was terminated upon our entry into the 2025 Credit Agreement.</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Summary of Cash Flows</w:t>
      </w:r>
    </w:p>
    <w:p>
      <w:pPr>
        <w:spacing w:after="0" w:line="120"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 xml:space="preserve">As of </w:t>
      </w:r>
      <w:r>
        <w:rPr>
          <w:rFonts w:ascii="Times New Roman" w:cs="Times New Roman" w:eastAsia="Times New Roman" w:hAnsi="Times New Roman"/>
          <w:sz w:val="17"/>
          <w:szCs w:val="17"/>
          <w:color w:val="231F20"/>
        </w:rPr>
        <w:t>April 30, 2026</w:t>
      </w:r>
      <w:r>
        <w:rPr>
          <w:rFonts w:ascii="Times New Roman" w:cs="Times New Roman" w:eastAsia="Times New Roman" w:hAnsi="Times New Roman"/>
          <w:sz w:val="17"/>
          <w:szCs w:val="17"/>
          <w:color w:val="auto"/>
        </w:rPr>
        <w:t>, we had $390.8 million of cash and cash equivalents, $250.0 million of availability under the 2025 Credit Agreement, and $734.8 million in net working capital, which we define as current assets less current liabilities, excluding deferred revenue. As of January 31, 2026, we had $358.1 million of cash and cash equivalents, $250.0 million of availability under the 2025 Credit Agreement, and $723.4 million in net working capital. The change in cash and cash equivalents and net working capital was driven primarily by a lower net operating loss from higher revenue growth.</w:t>
      </w:r>
    </w:p>
    <w:p>
      <w:pPr>
        <w:spacing w:after="0" w:line="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periods presented: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2026</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20" w:type="dxa"/>
            <w:vAlign w:val="bottom"/>
            <w:gridSpan w:val="3"/>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3920" w:type="dxa"/>
            <w:vAlign w:val="bottom"/>
            <w:gridSpan w:val="2"/>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38,241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(96,807)</w:t>
            </w:r>
          </w:p>
        </w:tc>
        <w:tc>
          <w:tcPr>
            <w:tcW w:w="0" w:type="dxa"/>
            <w:vAlign w:val="bottom"/>
          </w:tcPr>
          <w:p>
            <w:pPr>
              <w:spacing w:after="0"/>
              <w:rPr>
                <w:sz w:val="1"/>
                <w:szCs w:val="1"/>
                <w:color w:val="auto"/>
              </w:rPr>
            </w:pPr>
          </w:p>
        </w:tc>
      </w:tr>
      <w:tr>
        <w:trPr>
          <w:trHeight w:val="221"/>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(3,897)</w:t>
            </w:r>
          </w:p>
        </w:tc>
        <w:tc>
          <w:tcPr>
            <w:tcW w:w="0" w:type="dxa"/>
            <w:vAlign w:val="bottom"/>
          </w:tcPr>
          <w:p>
            <w:pPr>
              <w:spacing w:after="0"/>
              <w:rPr>
                <w:sz w:val="1"/>
                <w:szCs w:val="1"/>
                <w:color w:val="auto"/>
              </w:rPr>
            </w:pPr>
          </w:p>
        </w:tc>
      </w:tr>
      <w:tr>
        <w:trPr>
          <w:trHeight w:val="221"/>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7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210,649</w:t>
            </w:r>
          </w:p>
        </w:tc>
        <w:tc>
          <w:tcPr>
            <w:tcW w:w="0" w:type="dxa"/>
            <w:vAlign w:val="bottom"/>
          </w:tcPr>
          <w:p>
            <w:pPr>
              <w:spacing w:after="0"/>
              <w:rPr>
                <w:sz w:val="1"/>
                <w:szCs w:val="1"/>
                <w:color w:val="auto"/>
              </w:rPr>
            </w:pPr>
          </w:p>
        </w:tc>
      </w:tr>
      <w:tr>
        <w:trPr>
          <w:trHeight w:val="214"/>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change in cash, cash equivalents and restricted cash</w:t>
            </w:r>
          </w:p>
        </w:tc>
        <w:tc>
          <w:tcPr>
            <w:tcW w:w="27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32,520</w:t>
            </w: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109,945</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700" w:type="dxa"/>
            <w:vAlign w:val="bottom"/>
            <w:vMerge w:val="restart"/>
          </w:tcPr>
          <w:p>
            <w:pPr>
              <w:jc w:val="right"/>
              <w:ind w:right="1613"/>
              <w:spacing w:after="0"/>
              <w:rPr>
                <w:sz w:val="20"/>
                <w:szCs w:val="20"/>
                <w:color w:val="auto"/>
              </w:rPr>
            </w:pPr>
            <w:r>
              <w:rPr>
                <w:rFonts w:ascii="Times New Roman" w:cs="Times New Roman" w:eastAsia="Times New Roman" w:hAnsi="Times New Roman"/>
                <w:sz w:val="17"/>
                <w:szCs w:val="17"/>
                <w:color w:val="auto"/>
              </w:rPr>
              <w:t>34</w:t>
            </w: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3"/>
        </w:trPr>
        <w:tc>
          <w:tcPr>
            <w:tcW w:w="472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72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Cash Flows from Operating Activities</w:t>
      </w:r>
    </w:p>
    <w:p>
      <w:pPr>
        <w:spacing w:after="0" w:line="118" w:lineRule="exact"/>
        <w:rPr>
          <w:sz w:val="20"/>
          <w:szCs w:val="20"/>
          <w:color w:val="auto"/>
        </w:rPr>
      </w:pPr>
    </w:p>
    <w:p>
      <w:pPr>
        <w:jc w:val="both"/>
        <w:ind w:firstLine="624"/>
        <w:spacing w:after="0" w:line="259" w:lineRule="auto"/>
        <w:rPr>
          <w:sz w:val="20"/>
          <w:szCs w:val="20"/>
          <w:color w:val="auto"/>
        </w:rPr>
      </w:pPr>
      <w:r>
        <w:rPr>
          <w:rFonts w:ascii="Times New Roman" w:cs="Times New Roman" w:eastAsia="Times New Roman" w:hAnsi="Times New Roman"/>
          <w:sz w:val="17"/>
          <w:szCs w:val="17"/>
          <w:color w:val="auto"/>
        </w:rPr>
        <w:t>During the three months ended April 30, 2026, cash provided by operating activities was $38.2 million, which consisted of a net loss of $74.7 million, adjusted by non-cash charges of $126.3 million and a net cash outflow of $13.4 million from changes in our net operating assets and liabilities. The non-cash charges are primarily comprised of equity-based compensation of $69.1 million, depreciation and amortization expense of $53.1 million, amortization of contract acquisition costs of $12.6 million, amortization of debt discount and issuance costs of $0.1 million, and provision for credit losses of $1.0 million, partially offset by deferred taxes of $9.8 million. The net cash outflow from changes in operating assets and liabilities was primarily a result of a decrease in accrued expenses and other liabilities of $44.5 million due to the timing of cash disbursements primarily related to bonuses and commissions, a decrease in deferred revenue of $19.9 million, an increase in deferred contract acquisition costs of $18.5 million due to an increase in our sales, an increase in contract assets of $3.7 million primarily due to growth in our revenue and the timing of invoices and payments, and an increase in prepayments and other current assets of $13.0 million. The outflows were partially offset by a decrease in accounts receivable of $78.4 million due to the timing of receipts of payments from customers and an increase in accounts payable of $7.7 million due to the timing of invoicing and payments made to vendors.</w:t>
      </w:r>
    </w:p>
    <w:p>
      <w:pPr>
        <w:spacing w:after="0" w:line="190" w:lineRule="exact"/>
        <w:rPr>
          <w:sz w:val="20"/>
          <w:szCs w:val="20"/>
          <w:color w:val="auto"/>
        </w:rPr>
      </w:pPr>
    </w:p>
    <w:p>
      <w:pPr>
        <w:jc w:val="both"/>
        <w:ind w:firstLine="624"/>
        <w:spacing w:after="0" w:line="241" w:lineRule="auto"/>
        <w:rPr>
          <w:sz w:val="20"/>
          <w:szCs w:val="20"/>
          <w:color w:val="auto"/>
        </w:rPr>
      </w:pPr>
      <w:r>
        <w:rPr>
          <w:rFonts w:ascii="Times New Roman" w:cs="Times New Roman" w:eastAsia="Times New Roman" w:hAnsi="Times New Roman"/>
          <w:sz w:val="17"/>
          <w:szCs w:val="17"/>
          <w:color w:val="auto"/>
        </w:rPr>
        <w:t>During the three months ended April 30, 2025, cash used in operating activities was $96.8 million, which consisted of a net loss of $187.3 million, adjusted by non-cash charges of $159.8 million and a net cash outflow of $69.3 million from changes in our net operating assets and liabilities. The non-cash charges are primarily comprised of depreciation and amortization expense of $52.1 million, equity-based compensation of $105.7 million, amortization of contract acquisition costs of $8.2 million, amortization of debt discount and issuance costs, including the early write-off of issuance costs related to the repayment of the Term Loans of $15.6 million, and provision for credit losses of $3.6 million, partially offset by deferred taxes of $25.3 million. The net cash outflow from changes in operating assets and liabilities was primarily a result of an increase in deferred contract acquisition costs of $9.5 million due to an increase in our sales, an increase in contract assets of $3.8 million primarily due to growth in our revenue and the timing of invoices and payments, an increase in prepayments and other assets, current and non-current, of $14.9 million primarily due to the implementation of cloud computing arrangements, a decrease in deferred revenue of $11.1 million due to the timing of billings and cash received in advance of revenue recognition primarily for subscription and support services, and a decrease in accrued expenses and other liabilities of $90.6 million due to the timing of cash disbursements primarily related to bonuses and commissions, the settlement of vested EARs and cash-settled awards, interest payments, and fees paid to Thoma Bravo. The outflows were partially offset by a decrease in accounts receivable of $60.0 million due to the timing of receipts of payments from customers.</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Cash Flows used in Investing Activities</w:t>
      </w:r>
    </w:p>
    <w:p>
      <w:pPr>
        <w:spacing w:after="0" w:line="118"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During the three months ended April 30, 2026, cash used in investing activities was $5.7 million, consisting primarily of $4.8 million for capitalized software development costs and $1.0 million in purchases of property and equipment.</w:t>
      </w:r>
    </w:p>
    <w:p>
      <w:pPr>
        <w:spacing w:after="0" w:line="42"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During the three months ended April 30, 2025, cash used in investing activities was $3.9 million, consisting primarily of $1.7 million for capitalized software development costs and $2.2 million in purchases of property and equipment.</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Cash Flows from Financing Activities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During the three months ended April 30, 2026, there was no cash provided by financing activities.</w:t>
      </w:r>
    </w:p>
    <w:p>
      <w:pPr>
        <w:spacing w:after="0" w:line="116"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During the three months ended April 30, 2025, cash provided by financing activities was $210.6 million primarily due to the proceeds from our IPO, net of underwriting discounts and commissions of $1.3 billion, partially offset by the repayment of our Term Loans of $1.0 billion, and payments of deferred offering costs of $8.4 million.</w:t>
      </w:r>
    </w:p>
    <w:p>
      <w:pPr>
        <w:spacing w:after="0" w:line="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Material Cash Commitments</w:t>
      </w:r>
    </w:p>
    <w:p>
      <w:pPr>
        <w:spacing w:after="0" w:line="250" w:lineRule="exact"/>
        <w:rPr>
          <w:sz w:val="20"/>
          <w:szCs w:val="20"/>
          <w:color w:val="auto"/>
        </w:rPr>
      </w:pPr>
    </w:p>
    <w:p>
      <w:pPr>
        <w:jc w:val="both"/>
        <w:ind w:firstLine="624"/>
        <w:spacing w:after="0" w:line="264" w:lineRule="auto"/>
        <w:rPr>
          <w:sz w:val="20"/>
          <w:szCs w:val="20"/>
          <w:color w:val="auto"/>
        </w:rPr>
      </w:pPr>
      <w:r>
        <w:rPr>
          <w:rFonts w:ascii="Times New Roman" w:cs="Times New Roman" w:eastAsia="Times New Roman" w:hAnsi="Times New Roman"/>
          <w:sz w:val="17"/>
          <w:szCs w:val="17"/>
          <w:color w:val="auto"/>
        </w:rPr>
        <w:t>On February 1, 2026, the Company entered into a new amendment with its cloud storage provider, terminating the previous arrangement. The new agreement, effective February 1, 2026 through January 31, 2031, requires the Company to commit to minimum annual purchases of $107.0 million, $127.0 million, $147.0 million, $162.0 million, and $178.0 million in contract years one through five, respectively, for a total commitment of $721.0 million. If the Company does not meet the minimum purchase obligation during any contract year, it will be required to pay the difference. There have been no further amendments or material developments related to this agreement since its execution.</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were no additional significant changes outside the ordinary course of business to our material cash requirements disclosed in our fiscal 2026 Form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10-K.</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did not have any material off-balance sheet arrangements during the periods presented or as of April 30, 2026.</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48" w:lineRule="exact"/>
        <w:rPr>
          <w:sz w:val="20"/>
          <w:szCs w:val="20"/>
          <w:color w:val="auto"/>
        </w:rPr>
      </w:pPr>
    </w:p>
    <w:p>
      <w:pPr>
        <w:jc w:val="both"/>
        <w:ind w:firstLine="624"/>
        <w:spacing w:after="0" w:line="277" w:lineRule="auto"/>
        <w:rPr>
          <w:sz w:val="20"/>
          <w:szCs w:val="20"/>
          <w:color w:val="auto"/>
        </w:rPr>
      </w:pPr>
      <w:r>
        <w:rPr>
          <w:rFonts w:ascii="Times New Roman" w:cs="Times New Roman" w:eastAsia="Times New Roman" w:hAnsi="Times New Roman"/>
          <w:sz w:val="17"/>
          <w:szCs w:val="17"/>
          <w:color w:val="auto"/>
        </w:rPr>
        <w:t>There have been no significant changes to our critical accounting estimates for the three months ended April 30, 2026 from those disclosed in our fiscal 2026 Form 10-K.</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18" w:lineRule="exact"/>
        <w:rPr>
          <w:sz w:val="20"/>
          <w:szCs w:val="20"/>
          <w:color w:val="auto"/>
        </w:rPr>
      </w:pPr>
    </w:p>
    <w:p>
      <w:pPr>
        <w:jc w:val="both"/>
        <w:ind w:firstLine="624"/>
        <w:spacing w:after="0" w:line="266" w:lineRule="auto"/>
        <w:rPr>
          <w:sz w:val="20"/>
          <w:szCs w:val="20"/>
          <w:color w:val="auto"/>
        </w:rPr>
      </w:pPr>
      <w:r>
        <w:rPr>
          <w:rFonts w:ascii="Times New Roman" w:cs="Times New Roman" w:eastAsia="Times New Roman" w:hAnsi="Times New Roman"/>
          <w:sz w:val="17"/>
          <w:szCs w:val="17"/>
          <w:color w:val="auto"/>
        </w:rPr>
        <w:t>Refer to Note 1 "Description of Business and Summary of Significant Accounting Policies" in the notes to our condensed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18"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7"/>
          <w:szCs w:val="17"/>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foreign currency exchange rates. We do not hold or issue financial instruments for trading purposes. There have been no material changes in our market risk exposures for the three months ended April 30, 2026 as compared to those disclosed in our fiscal 2026 Form 10-K.</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120"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Our disclosure controls and procedures (as defined in Rules 13a-15(e) and 15d-15(e) under the Securities Exchange Act of 1934, as amended (the "Exchange Act")) are designed to ensure that information required to be disclosed in the reports that we file or submit under the Exchange Act is recorded, processed, summarized, and reported within the time periods specified in the rules and forms of the SEC and to ensure that information required to be disclosed is accumulated and communicated to management, including our principal executive officer (“PEO”) and principal financial officer (“PFO”), to allow timely decisions regarding disclosure. Our management, with the participation of our PEO and PFO, has evaluated the effectiveness of our disclosure controls and procedures as of April 30, 2026 and, based on such evaluation, our PEO and PFO have concluded that our disclosure controls and procedures were effective as of such date.</w:t>
      </w:r>
    </w:p>
    <w:p>
      <w:pPr>
        <w:spacing w:after="0" w:line="200" w:lineRule="exact"/>
        <w:rPr>
          <w:sz w:val="20"/>
          <w:szCs w:val="20"/>
          <w:color w:val="auto"/>
        </w:rPr>
      </w:pPr>
    </w:p>
    <w:p>
      <w:pPr>
        <w:spacing w:after="0" w:line="2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120"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There were no changes in the Company’s internal control over financial reporting (as defined in Exchange Act Rule 13a-15(f) and 15d-15(f)) during the fiscal quarter ended April 30, 2026 that materially affected, or are reasonably likely to materially affect, our internal control over financial reporting.</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18"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We are not currently a party to, nor is our property currently subject to, any material legal proceedings other than ordinary routine litigation incidental to the business, and we are not aware of any such proceedings contemplated by governmental authorities.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have been no material changes to the risk factors disclosed in Part I, Item 1A in the fiscal 2026 Form 10-K.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3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Use of Proceeds from Initial Public Offering of Common Stock</w:t>
      </w:r>
    </w:p>
    <w:p>
      <w:pPr>
        <w:spacing w:after="0" w:line="118" w:lineRule="exact"/>
        <w:rPr>
          <w:sz w:val="20"/>
          <w:szCs w:val="20"/>
          <w:color w:val="auto"/>
        </w:rPr>
      </w:pPr>
    </w:p>
    <w:p>
      <w:pPr>
        <w:jc w:val="both"/>
        <w:ind w:firstLine="624"/>
        <w:spacing w:after="0" w:line="262" w:lineRule="auto"/>
        <w:rPr>
          <w:sz w:val="20"/>
          <w:szCs w:val="20"/>
          <w:color w:val="auto"/>
        </w:rPr>
      </w:pPr>
      <w:r>
        <w:rPr>
          <w:rFonts w:ascii="Times New Roman" w:cs="Times New Roman" w:eastAsia="Times New Roman" w:hAnsi="Times New Roman"/>
          <w:sz w:val="17"/>
          <w:szCs w:val="17"/>
          <w:color w:val="auto"/>
        </w:rPr>
        <w:t>On February 12, 2025, the Registration Statement on Form S-1 (File No. 333-284339) (the “Registration Statement”) relating to our IPO was declared effective by the SEC and we priced our IPO. Pursuant to the Registration Statement, we registered an aggregate of 60.0 million shares of our common stock, of which 57.5 million shares were sold by us and 2.5 million shares were sold by certain selling stockholders named therein at a price to the public of $23.00 per share (for an aggregate offering price of approximately $1.4 billion). We received net proceeds of approximately $1.2 billion, net of approximately $62.8 million of underwriting discounts and commissions and approximately $11.5 million of offering costs. Morgan Stanley &amp; Co. LLC and Goldman Sachs &amp; Co. LLC acted as joint lead book-running managers and representatives of the underwriters.</w:t>
      </w:r>
    </w:p>
    <w:p>
      <w:pPr>
        <w:spacing w:after="0" w:line="201" w:lineRule="exact"/>
        <w:rPr>
          <w:sz w:val="20"/>
          <w:szCs w:val="20"/>
          <w:color w:val="auto"/>
        </w:rPr>
      </w:pPr>
    </w:p>
    <w:p>
      <w:pPr>
        <w:jc w:val="both"/>
        <w:ind w:firstLine="624"/>
        <w:spacing w:after="0" w:line="277" w:lineRule="auto"/>
        <w:rPr>
          <w:sz w:val="20"/>
          <w:szCs w:val="20"/>
          <w:color w:val="auto"/>
        </w:rPr>
      </w:pPr>
      <w:r>
        <w:rPr>
          <w:rFonts w:ascii="Times New Roman" w:cs="Times New Roman" w:eastAsia="Times New Roman" w:hAnsi="Times New Roman"/>
          <w:sz w:val="17"/>
          <w:szCs w:val="17"/>
          <w:color w:val="auto"/>
        </w:rPr>
        <w:t>There has been no material change in the planned use of proceeds from our IPO as described in the related prospectus filed with the SEC pursuant to Rule 424(b)(4) under the Securities Act of 1933, as amended, except that we repaid the Term Loans in full.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322" w:lineRule="exact"/>
        <w:rPr>
          <w:sz w:val="20"/>
          <w:szCs w:val="20"/>
          <w:color w:val="auto"/>
        </w:rPr>
      </w:pPr>
    </w:p>
    <w:p>
      <w:pPr>
        <w:jc w:val="center"/>
        <w:ind w:right="890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18"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17"/>
          <w:szCs w:val="17"/>
          <w:color w:val="auto"/>
        </w:rPr>
        <w:t>Not applicable.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Insider Trading Arrangements</w:t>
      </w:r>
    </w:p>
    <w:p>
      <w:pPr>
        <w:spacing w:after="0" w:line="235" w:lineRule="exact"/>
        <w:rPr>
          <w:sz w:val="20"/>
          <w:szCs w:val="20"/>
          <w:color w:val="auto"/>
        </w:rPr>
      </w:pPr>
    </w:p>
    <w:p>
      <w:pPr>
        <w:jc w:val="both"/>
        <w:ind w:firstLine="624"/>
        <w:spacing w:after="0" w:line="250" w:lineRule="auto"/>
        <w:rPr>
          <w:sz w:val="20"/>
          <w:szCs w:val="20"/>
          <w:color w:val="auto"/>
        </w:rPr>
      </w:pPr>
      <w:r>
        <w:rPr>
          <w:rFonts w:ascii="Times New Roman" w:cs="Times New Roman" w:eastAsia="Times New Roman" w:hAnsi="Times New Roman"/>
          <w:sz w:val="17"/>
          <w:szCs w:val="17"/>
          <w:color w:val="auto"/>
        </w:rPr>
        <w:t>During the three months ended April 30, 2026, none of the Company’s directors or officers (as defined in Rule 16a-1(f) of the Exchange Act) informed us of the adoption or termination of a “Rule 10b5-1 trading arrangement” or “non-Rule 10b5-1 trading arrangement,” as each term is defined in Item 408(a) of Regulation S-K.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118"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The documents listed below are incorporated by reference or are filed with this Quarterly Report, in each case as indicated therein (numbered in accordance with Item 601 of Regulation S-K).</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900" w:type="dxa"/>
            <w:vAlign w:val="bottom"/>
            <w:gridSpan w:val="2"/>
          </w:tcPr>
          <w:p>
            <w:pPr>
              <w:ind w:left="146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6"/>
        </w:trPr>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6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9"/>
        </w:trPr>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4"/>
          </w:tcPr>
          <w:p>
            <w:pPr>
              <w:spacing w:after="0"/>
              <w:rPr>
                <w:rFonts w:ascii="Times New Roman" w:cs="Times New Roman" w:eastAsia="Times New Roman" w:hAnsi="Times New Roman"/>
                <w:sz w:val="17"/>
                <w:szCs w:val="17"/>
                <w:color w:val="0000FF"/>
              </w:rPr>
            </w:pPr>
            <w:hyperlink r:id="rId56">
              <w:r>
                <w:rPr>
                  <w:rFonts w:ascii="Times New Roman" w:cs="Times New Roman" w:eastAsia="Times New Roman" w:hAnsi="Times New Roman"/>
                  <w:sz w:val="17"/>
                  <w:szCs w:val="17"/>
                  <w:color w:val="0000FF"/>
                </w:rPr>
                <w:t xml:space="preserve">Certificate of Incorporation of SailPoint, Inc.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 3.1 to the Current Report on Form 8-K filed by the Company</w:t>
            </w:r>
          </w:p>
        </w:tc>
      </w:tr>
      <w:tr>
        <w:trPr>
          <w:trHeight w:val="227"/>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auto"/>
              </w:rPr>
              <w:t>on February 19, 2025).</w:t>
            </w:r>
          </w:p>
        </w:tc>
        <w:tc>
          <w:tcPr>
            <w:tcW w:w="6900" w:type="dxa"/>
            <w:vAlign w:val="bottom"/>
            <w:gridSpan w:val="2"/>
          </w:tcPr>
          <w:p>
            <w:pPr>
              <w:spacing w:after="0"/>
              <w:rPr>
                <w:sz w:val="19"/>
                <w:szCs w:val="19"/>
                <w:color w:val="auto"/>
              </w:rPr>
            </w:pPr>
          </w:p>
        </w:tc>
      </w:tr>
      <w:tr>
        <w:trPr>
          <w:trHeight w:val="273"/>
        </w:trPr>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0" w:type="dxa"/>
            <w:vAlign w:val="bottom"/>
            <w:tcBorders>
              <w:bottom w:val="single" w:sz="8" w:color="0000FF"/>
            </w:tcBorders>
            <w:gridSpan w:val="3"/>
          </w:tcPr>
          <w:p>
            <w:pPr>
              <w:spacing w:after="0"/>
              <w:rPr>
                <w:rFonts w:ascii="Times New Roman" w:cs="Times New Roman" w:eastAsia="Times New Roman" w:hAnsi="Times New Roman"/>
                <w:sz w:val="17"/>
                <w:szCs w:val="17"/>
                <w:color w:val="0000FF"/>
              </w:rPr>
            </w:pPr>
            <w:hyperlink r:id="rId57">
              <w:r>
                <w:rPr>
                  <w:rFonts w:ascii="Times New Roman" w:cs="Times New Roman" w:eastAsia="Times New Roman" w:hAnsi="Times New Roman"/>
                  <w:sz w:val="17"/>
                  <w:szCs w:val="17"/>
                  <w:color w:val="0000FF"/>
                </w:rPr>
                <w:t>Bylaws of SailPoint, Inc. (incorporated by reference to Exhibit 3.2 to the Current Report on Form 8-K filed by the Company on February 19,</w:t>
              </w:r>
            </w:hyperlink>
          </w:p>
        </w:tc>
        <w:tc>
          <w:tcPr>
            <w:tcW w:w="20" w:type="dxa"/>
            <w:vAlign w:val="bottom"/>
          </w:tcPr>
          <w:p>
            <w:pPr>
              <w:spacing w:after="0"/>
              <w:rPr>
                <w:sz w:val="23"/>
                <w:szCs w:val="23"/>
                <w:color w:val="auto"/>
              </w:rPr>
            </w:pPr>
          </w:p>
        </w:tc>
      </w:tr>
      <w:tr>
        <w:trPr>
          <w:trHeight w:val="188"/>
        </w:trPr>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3"/>
          </w:tcPr>
          <w:p>
            <w:pPr>
              <w:ind w:left="20"/>
              <w:spacing w:after="0" w:line="188" w:lineRule="exact"/>
              <w:rPr>
                <w:rFonts w:ascii="Times New Roman" w:cs="Times New Roman" w:eastAsia="Times New Roman" w:hAnsi="Times New Roman"/>
                <w:sz w:val="17"/>
                <w:szCs w:val="17"/>
                <w:color w:val="0000FF"/>
              </w:rPr>
            </w:pPr>
            <w:hyperlink r:id="rId57">
              <w:r>
                <w:rPr>
                  <w:rFonts w:ascii="Times New Roman" w:cs="Times New Roman" w:eastAsia="Times New Roman" w:hAnsi="Times New Roman"/>
                  <w:sz w:val="17"/>
                  <w:szCs w:val="17"/>
                  <w:color w:val="0000FF"/>
                </w:rPr>
                <w:t>2025).</w:t>
              </w:r>
            </w:hyperlink>
          </w:p>
        </w:tc>
        <w:tc>
          <w:tcPr>
            <w:tcW w:w="6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968"/>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9560" w:type="dxa"/>
            <w:vAlign w:val="bottom"/>
            <w:gridSpan w:val="2"/>
          </w:tcPr>
          <w:p>
            <w:pPr>
              <w:jc w:val="right"/>
              <w:ind w:right="5413"/>
              <w:spacing w:after="0"/>
              <w:rPr>
                <w:sz w:val="20"/>
                <w:szCs w:val="20"/>
                <w:color w:val="auto"/>
              </w:rPr>
            </w:pPr>
            <w:r>
              <w:rPr>
                <w:rFonts w:ascii="Times New Roman" w:cs="Times New Roman" w:eastAsia="Times New Roman" w:hAnsi="Times New Roman"/>
                <w:sz w:val="17"/>
                <w:szCs w:val="17"/>
                <w:color w:val="auto"/>
              </w:rPr>
              <w:t>37</w:t>
            </w:r>
          </w:p>
        </w:tc>
        <w:tc>
          <w:tcPr>
            <w:tcW w:w="20" w:type="dxa"/>
            <w:vAlign w:val="bottom"/>
          </w:tcPr>
          <w:p>
            <w:pPr>
              <w:spacing w:after="0"/>
              <w:rPr>
                <w:sz w:val="24"/>
                <w:szCs w:val="24"/>
                <w:color w:val="auto"/>
              </w:rPr>
            </w:pPr>
          </w:p>
        </w:tc>
      </w:tr>
      <w:tr>
        <w:trPr>
          <w:trHeight w:val="110"/>
        </w:trPr>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680" w:type="dxa"/>
            <w:vAlign w:val="bottom"/>
            <w:tcBorders>
              <w:bottom w:val="single" w:sz="8" w:color="9A9A9A"/>
            </w:tcBorders>
          </w:tcPr>
          <w:p>
            <w:pPr>
              <w:spacing w:after="0"/>
              <w:rPr>
                <w:sz w:val="9"/>
                <w:szCs w:val="9"/>
                <w:color w:val="auto"/>
              </w:rPr>
            </w:pPr>
          </w:p>
        </w:tc>
        <w:tc>
          <w:tcPr>
            <w:tcW w:w="6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5860" w:type="dxa"/>
            <w:vAlign w:val="bottom"/>
            <w:gridSpan w:val="2"/>
          </w:tcPr>
          <w:p>
            <w:pPr>
              <w:ind w:left="42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6"/>
        </w:trPr>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5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8"/>
        </w:trPr>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color w:val="auto"/>
                <w:w w:val="99"/>
              </w:rPr>
              <w:t>31.1*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tcBorders>
              <w:bottom w:val="single" w:sz="8" w:color="0000FF"/>
            </w:tcBorders>
            <w:gridSpan w:val="3"/>
          </w:tcPr>
          <w:p>
            <w:pPr>
              <w:spacing w:after="0" w:line="188" w:lineRule="exact"/>
              <w:rPr>
                <w:sz w:val="20"/>
                <w:szCs w:val="20"/>
                <w:color w:val="auto"/>
              </w:rPr>
            </w:pPr>
            <w:r>
              <w:rPr>
                <w:rFonts w:ascii="Times New Roman" w:cs="Times New Roman" w:eastAsia="Times New Roman" w:hAnsi="Times New Roman"/>
                <w:sz w:val="17"/>
                <w:szCs w:val="17"/>
                <w:color w:val="0000FF"/>
              </w:rPr>
              <w:t>Certification of Principal Executive Officer Pursuant to Rules 13a-14(a) and 15d-14(a) under the Securities Exchange Act of 1934, as Adopted</w:t>
            </w:r>
          </w:p>
        </w:tc>
        <w:tc>
          <w:tcPr>
            <w:tcW w:w="2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60" w:type="dxa"/>
            <w:vAlign w:val="bottom"/>
            <w:tcBorders>
              <w:bottom w:val="single" w:sz="8" w:color="0000FF"/>
            </w:tcBorders>
            <w:gridSpan w:val="2"/>
          </w:tcPr>
          <w:p>
            <w:pPr>
              <w:spacing w:after="0" w:line="188" w:lineRule="exact"/>
              <w:rPr>
                <w:sz w:val="20"/>
                <w:szCs w:val="20"/>
                <w:color w:val="auto"/>
              </w:rPr>
            </w:pPr>
            <w:r>
              <w:rPr>
                <w:rFonts w:ascii="Times New Roman" w:cs="Times New Roman" w:eastAsia="Times New Roman" w:hAnsi="Times New Roman"/>
                <w:sz w:val="17"/>
                <w:szCs w:val="17"/>
                <w:color w:val="0000FF"/>
              </w:rPr>
              <w:t>Pursuant to Section 302 of the Sarbanes-Oxley Act of 2002.</w:t>
            </w:r>
          </w:p>
        </w:tc>
        <w:tc>
          <w:tcPr>
            <w:tcW w:w="5860" w:type="dxa"/>
            <w:vAlign w:val="bottom"/>
            <w:gridSpan w:val="2"/>
          </w:tcPr>
          <w:p>
            <w:pPr>
              <w:spacing w:after="0"/>
              <w:rPr>
                <w:sz w:val="16"/>
                <w:szCs w:val="16"/>
                <w:color w:val="auto"/>
              </w:rPr>
            </w:pPr>
          </w:p>
        </w:tc>
      </w:tr>
      <w:tr>
        <w:trPr>
          <w:trHeight w:val="292"/>
        </w:trPr>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Rules 13a-14(a) and 15d-14(a) under the Securities Exchange Act of 1934, as Adopted</w:t>
            </w:r>
          </w:p>
        </w:tc>
        <w:tc>
          <w:tcPr>
            <w:tcW w:w="20" w:type="dxa"/>
            <w:vAlign w:val="bottom"/>
          </w:tcPr>
          <w:p>
            <w:pPr>
              <w:spacing w:after="0"/>
              <w:rPr>
                <w:sz w:val="24"/>
                <w:szCs w:val="24"/>
                <w:color w:val="auto"/>
              </w:rPr>
            </w:pPr>
          </w:p>
        </w:tc>
      </w:tr>
      <w:tr>
        <w:trPr>
          <w:trHeight w:val="188"/>
        </w:trPr>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60" w:type="dxa"/>
            <w:vAlign w:val="bottom"/>
            <w:tcBorders>
              <w:bottom w:val="single" w:sz="8" w:color="0000FF"/>
            </w:tcBorders>
            <w:gridSpan w:val="2"/>
          </w:tcPr>
          <w:p>
            <w:pPr>
              <w:spacing w:after="0" w:line="188" w:lineRule="exact"/>
              <w:rPr>
                <w:sz w:val="20"/>
                <w:szCs w:val="20"/>
                <w:color w:val="auto"/>
              </w:rPr>
            </w:pPr>
            <w:r>
              <w:rPr>
                <w:rFonts w:ascii="Times New Roman" w:cs="Times New Roman" w:eastAsia="Times New Roman" w:hAnsi="Times New Roman"/>
                <w:sz w:val="17"/>
                <w:szCs w:val="17"/>
                <w:color w:val="0000FF"/>
              </w:rPr>
              <w:t>Pursuant to Section 302 of the Sarbanes-Oxley Act of 2002.</w:t>
            </w:r>
          </w:p>
        </w:tc>
        <w:tc>
          <w:tcPr>
            <w:tcW w:w="5860" w:type="dxa"/>
            <w:vAlign w:val="bottom"/>
            <w:gridSpan w:val="2"/>
          </w:tcPr>
          <w:p>
            <w:pPr>
              <w:spacing w:after="0"/>
              <w:rPr>
                <w:sz w:val="16"/>
                <w:szCs w:val="16"/>
                <w:color w:val="auto"/>
              </w:rPr>
            </w:pPr>
          </w:p>
        </w:tc>
      </w:tr>
      <w:tr>
        <w:trPr>
          <w:trHeight w:val="292"/>
        </w:trPr>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18 U.S.C. Section 1350, as Adopted Pursuant to Section 906 of the Sarbanes-Oxley Act</w:t>
            </w:r>
          </w:p>
        </w:tc>
        <w:tc>
          <w:tcPr>
            <w:tcW w:w="20" w:type="dxa"/>
            <w:vAlign w:val="bottom"/>
          </w:tcPr>
          <w:p>
            <w:pPr>
              <w:spacing w:after="0"/>
              <w:rPr>
                <w:sz w:val="24"/>
                <w:szCs w:val="24"/>
                <w:color w:val="auto"/>
              </w:rPr>
            </w:pPr>
          </w:p>
        </w:tc>
      </w:tr>
      <w:tr>
        <w:trPr>
          <w:trHeight w:val="188"/>
        </w:trPr>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Borders>
              <w:bottom w:val="single" w:sz="8" w:color="0000FF"/>
            </w:tcBorders>
          </w:tcPr>
          <w:p>
            <w:pPr>
              <w:spacing w:after="0" w:line="188" w:lineRule="exact"/>
              <w:rPr>
                <w:sz w:val="20"/>
                <w:szCs w:val="20"/>
                <w:color w:val="auto"/>
              </w:rPr>
            </w:pPr>
            <w:r>
              <w:rPr>
                <w:rFonts w:ascii="Times New Roman" w:cs="Times New Roman" w:eastAsia="Times New Roman" w:hAnsi="Times New Roman"/>
                <w:sz w:val="17"/>
                <w:szCs w:val="17"/>
                <w:color w:val="0000FF"/>
                <w:w w:val="98"/>
              </w:rPr>
              <w:t>of 2002.</w:t>
            </w:r>
          </w:p>
        </w:tc>
        <w:tc>
          <w:tcPr>
            <w:tcW w:w="9440" w:type="dxa"/>
            <w:vAlign w:val="bottom"/>
            <w:gridSpan w:val="3"/>
          </w:tcPr>
          <w:p>
            <w:pPr>
              <w:spacing w:after="0"/>
              <w:rPr>
                <w:sz w:val="16"/>
                <w:szCs w:val="16"/>
                <w:color w:val="auto"/>
              </w:rPr>
            </w:pPr>
          </w:p>
        </w:tc>
      </w:tr>
      <w:tr>
        <w:trPr>
          <w:trHeight w:val="292"/>
        </w:trPr>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18 U.S.C. Section 1350, as Adopted Pursuant to Section 906 of the Sarbanes-Oxley Act</w:t>
            </w:r>
          </w:p>
        </w:tc>
      </w:tr>
      <w:tr>
        <w:trPr>
          <w:trHeight w:val="188"/>
        </w:trPr>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Borders>
              <w:top w:val="single" w:sz="8" w:color="0000FF"/>
              <w:bottom w:val="single" w:sz="8" w:color="0000FF"/>
            </w:tcBorders>
          </w:tcPr>
          <w:p>
            <w:pPr>
              <w:spacing w:after="0" w:line="188" w:lineRule="exact"/>
              <w:rPr>
                <w:sz w:val="20"/>
                <w:szCs w:val="20"/>
                <w:color w:val="auto"/>
              </w:rPr>
            </w:pPr>
            <w:r>
              <w:rPr>
                <w:rFonts w:ascii="Times New Roman" w:cs="Times New Roman" w:eastAsia="Times New Roman" w:hAnsi="Times New Roman"/>
                <w:sz w:val="17"/>
                <w:szCs w:val="17"/>
                <w:color w:val="0000FF"/>
                <w:w w:val="98"/>
              </w:rPr>
              <w:t>of 2002.</w:t>
            </w:r>
          </w:p>
        </w:tc>
        <w:tc>
          <w:tcPr>
            <w:tcW w:w="9420" w:type="dxa"/>
            <w:vAlign w:val="bottom"/>
            <w:tcBorders>
              <w:top w:val="single" w:sz="8" w:color="0000FF"/>
            </w:tcBorders>
            <w:gridSpan w:val="2"/>
          </w:tcPr>
          <w:p>
            <w:pPr>
              <w:spacing w:after="0"/>
              <w:rPr>
                <w:sz w:val="16"/>
                <w:szCs w:val="16"/>
                <w:color w:val="auto"/>
              </w:rPr>
            </w:pPr>
          </w:p>
        </w:tc>
        <w:tc>
          <w:tcPr>
            <w:tcW w:w="20" w:type="dxa"/>
            <w:vAlign w:val="bottom"/>
          </w:tcPr>
          <w:p>
            <w:pPr>
              <w:spacing w:after="0"/>
              <w:rPr>
                <w:sz w:val="16"/>
                <w:szCs w:val="16"/>
                <w:color w:val="auto"/>
              </w:rPr>
            </w:pPr>
          </w:p>
        </w:tc>
      </w:tr>
      <w:tr>
        <w:trPr>
          <w:trHeight w:val="331"/>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101.INS*</w:t>
            </w: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r>
      <w:tr>
        <w:trPr>
          <w:trHeight w:val="351"/>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101.SCH*</w:t>
            </w: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351"/>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101.CAL*</w:t>
            </w: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351"/>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101.DEF*</w:t>
            </w: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351"/>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101.LAB*</w:t>
            </w: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351"/>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101.PRE*</w:t>
            </w: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r>
        <w:trPr>
          <w:trHeight w:val="351"/>
        </w:trPr>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Inline XBRL Cover Page Interactive Data File (included in Exhibit 101).</w:t>
            </w:r>
          </w:p>
        </w:tc>
      </w:tr>
    </w:tbl>
    <w:p>
      <w:pPr>
        <w:spacing w:after="0" w:line="24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auto"/>
        </w:rPr>
        <w:t>*</w:t>
        <w:tab/>
        <w:t>Filed herewith.</w:t>
      </w:r>
    </w:p>
    <w:p>
      <w:pPr>
        <w:spacing w:after="0" w:line="31" w:lineRule="exact"/>
        <w:rPr>
          <w:sz w:val="20"/>
          <w:szCs w:val="20"/>
          <w:color w:val="auto"/>
        </w:rPr>
      </w:pPr>
    </w:p>
    <w:p>
      <w:pPr>
        <w:ind w:left="620" w:hanging="616"/>
        <w:spacing w:after="0" w:line="270" w:lineRule="auto"/>
        <w:tabs>
          <w:tab w:leader="none" w:pos="3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 (such certification shall not be deemed “filed” for purposes of Section 18 of the Exchange Act, except to the extent that the Company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2" w:lineRule="exact"/>
        <w:rPr>
          <w:sz w:val="20"/>
          <w:szCs w:val="20"/>
          <w:color w:val="auto"/>
        </w:rPr>
      </w:pPr>
    </w:p>
    <w:p>
      <w:pPr>
        <w:ind w:right="680" w:firstLine="624"/>
        <w:spacing w:after="0" w:line="29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79"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7"/>
          <w:szCs w:val="17"/>
          <w:b w:val="1"/>
          <w:bCs w:val="1"/>
          <w:color w:val="auto"/>
        </w:rPr>
        <w:t>SailPoint, Inc.</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w:t>
      </w:r>
    </w:p>
    <w:p>
      <w:pPr>
        <w:spacing w:after="0" w:line="6" w:lineRule="exact"/>
        <w:rPr>
          <w:sz w:val="20"/>
          <w:szCs w:val="20"/>
          <w:color w:val="auto"/>
        </w:rPr>
      </w:pPr>
    </w:p>
    <w:p>
      <w:pPr>
        <w:ind w:left="20"/>
        <w:spacing w:after="0"/>
        <w:tabs>
          <w:tab w:leader="none" w:pos="7060" w:val="left"/>
          <w:tab w:leader="none" w:pos="8760" w:val="left"/>
        </w:tabs>
        <w:rPr>
          <w:sz w:val="20"/>
          <w:szCs w:val="20"/>
          <w:color w:val="auto"/>
        </w:rPr>
      </w:pPr>
      <w:r>
        <w:rPr>
          <w:rFonts w:ascii="Times New Roman" w:cs="Times New Roman" w:eastAsia="Times New Roman" w:hAnsi="Times New Roman"/>
          <w:sz w:val="17"/>
          <w:szCs w:val="17"/>
          <w:color w:val="auto"/>
        </w:rPr>
        <w:t>Date: June 10,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4772025</wp:posOffset>
            </wp:positionH>
            <wp:positionV relativeFrom="paragraph">
              <wp:posOffset>34290</wp:posOffset>
            </wp:positionV>
            <wp:extent cx="23679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367915" cy="8255"/>
                    </a:xfrm>
                    <a:prstGeom prst="rect">
                      <a:avLst/>
                    </a:prstGeom>
                    <a:noFill/>
                  </pic:spPr>
                </pic:pic>
              </a:graphicData>
            </a:graphic>
          </wp:anchor>
        </w:drawing>
      </w:r>
    </w:p>
    <w:p>
      <w:pPr>
        <w:spacing w:after="0" w:line="53"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7"/>
          <w:szCs w:val="17"/>
          <w:b w:val="1"/>
          <w:bCs w:val="1"/>
          <w:color w:val="auto"/>
        </w:rPr>
        <w:t>Brian Carolan</w:t>
      </w:r>
    </w:p>
    <w:p>
      <w:pPr>
        <w:spacing w:after="0" w:line="33"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12"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7"/>
          <w:szCs w:val="17"/>
          <w:b w:val="1"/>
          <w:bCs w:val="1"/>
          <w:color w:val="auto"/>
        </w:rPr>
        <w:t>(Principal Financial Officer and Duly Authorized</w:t>
      </w:r>
    </w:p>
    <w:p>
      <w:pPr>
        <w:spacing w:after="0" w:line="12"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7"/>
          <w:szCs w:val="17"/>
          <w:b w:val="1"/>
          <w:bCs w:val="1"/>
          <w:color w:val="auto"/>
        </w:rPr>
        <w:t>Officer)</w:t>
      </w:r>
    </w:p>
    <w:p>
      <w:pPr>
        <w:spacing w:after="0" w:line="306" w:lineRule="exact"/>
        <w:rPr>
          <w:sz w:val="20"/>
          <w:szCs w:val="20"/>
          <w:color w:val="auto"/>
        </w:rPr>
      </w:pPr>
    </w:p>
    <w:p>
      <w:pPr>
        <w:ind w:left="20"/>
        <w:spacing w:after="0"/>
        <w:tabs>
          <w:tab w:leader="none" w:pos="8780" w:val="left"/>
        </w:tabs>
        <w:rPr>
          <w:sz w:val="20"/>
          <w:szCs w:val="20"/>
          <w:color w:val="auto"/>
        </w:rPr>
      </w:pPr>
      <w:r>
        <w:rPr>
          <w:rFonts w:ascii="Times New Roman" w:cs="Times New Roman" w:eastAsia="Times New Roman" w:hAnsi="Times New Roman"/>
          <w:sz w:val="17"/>
          <w:szCs w:val="17"/>
          <w:color w:val="auto"/>
        </w:rPr>
        <w:t>Date: June 10, 2026</w:t>
      </w:r>
      <w:r>
        <w:rPr>
          <w:sz w:val="20"/>
          <w:szCs w:val="20"/>
          <w:color w:val="auto"/>
        </w:rPr>
        <w:tab/>
      </w:r>
      <w:r>
        <w:rPr>
          <w:rFonts w:ascii="Times New Roman" w:cs="Times New Roman" w:eastAsia="Times New Roman" w:hAnsi="Times New Roman"/>
          <w:sz w:val="17"/>
          <w:szCs w:val="17"/>
          <w:color w:val="auto"/>
        </w:rPr>
        <w:t>/s/ Mitra Rezvan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4772025</wp:posOffset>
            </wp:positionH>
            <wp:positionV relativeFrom="paragraph">
              <wp:posOffset>36195</wp:posOffset>
            </wp:positionV>
            <wp:extent cx="23679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367915" cy="8255"/>
                    </a:xfrm>
                    <a:prstGeom prst="rect">
                      <a:avLst/>
                    </a:prstGeom>
                    <a:noFill/>
                  </pic:spPr>
                </pic:pic>
              </a:graphicData>
            </a:graphic>
          </wp:anchor>
        </w:drawing>
      </w:r>
    </w:p>
    <w:p>
      <w:pPr>
        <w:spacing w:after="0" w:line="55"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7"/>
          <w:szCs w:val="17"/>
          <w:b w:val="1"/>
          <w:bCs w:val="1"/>
          <w:color w:val="auto"/>
        </w:rPr>
        <w:t>Mitra Rezvan</w:t>
      </w:r>
    </w:p>
    <w:p>
      <w:pPr>
        <w:spacing w:after="0" w:line="33"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7"/>
          <w:szCs w:val="17"/>
          <w:b w:val="1"/>
          <w:bCs w:val="1"/>
          <w:color w:val="auto"/>
        </w:rPr>
        <w:t>Chief Accounting Officer</w:t>
      </w:r>
    </w:p>
    <w:p>
      <w:pPr>
        <w:spacing w:after="0" w:line="12"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7"/>
          <w:szCs w:val="17"/>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1200"/>
          </w:cols>
          <w:pgMar w:left="320" w:top="121" w:right="37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Mark McClain, certify that:</w:t>
      </w:r>
    </w:p>
    <w:p>
      <w:pPr>
        <w:spacing w:after="0" w:line="220" w:lineRule="exact"/>
        <w:rPr>
          <w:sz w:val="20"/>
          <w:szCs w:val="20"/>
          <w:color w:val="auto"/>
        </w:rPr>
      </w:pPr>
    </w:p>
    <w:p>
      <w:pPr>
        <w:ind w:left="540" w:hanging="536"/>
        <w:spacing w:after="0"/>
        <w:tabs>
          <w:tab w:leader="none" w:pos="5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quarter ended April 30, 2026 of SailPoint, Inc.;</w:t>
      </w:r>
    </w:p>
    <w:p>
      <w:pPr>
        <w:spacing w:after="0" w:line="116" w:lineRule="exact"/>
        <w:rPr>
          <w:rFonts w:ascii="Times New Roman" w:cs="Times New Roman" w:eastAsia="Times New Roman" w:hAnsi="Times New Roman"/>
          <w:sz w:val="17"/>
          <w:szCs w:val="17"/>
          <w:color w:val="auto"/>
        </w:rPr>
      </w:pPr>
    </w:p>
    <w:p>
      <w:pPr>
        <w:ind w:left="540" w:right="140" w:hanging="536"/>
        <w:spacing w:after="0" w:line="293" w:lineRule="auto"/>
        <w:tabs>
          <w:tab w:leader="none" w:pos="5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Times New Roman" w:cs="Times New Roman" w:eastAsia="Times New Roman" w:hAnsi="Times New Roman"/>
          <w:sz w:val="17"/>
          <w:szCs w:val="17"/>
          <w:color w:val="auto"/>
        </w:rPr>
      </w:pPr>
    </w:p>
    <w:p>
      <w:pPr>
        <w:ind w:left="540" w:right="580" w:hanging="536"/>
        <w:spacing w:after="0" w:line="293" w:lineRule="auto"/>
        <w:tabs>
          <w:tab w:leader="none" w:pos="5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7"/>
          <w:szCs w:val="17"/>
          <w:color w:val="auto"/>
        </w:rPr>
      </w:pPr>
    </w:p>
    <w:p>
      <w:pPr>
        <w:ind w:left="540" w:right="80" w:hanging="536"/>
        <w:spacing w:after="0" w:line="293" w:lineRule="auto"/>
        <w:tabs>
          <w:tab w:leader="none" w:pos="5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42" w:lineRule="exact"/>
        <w:rPr>
          <w:rFonts w:ascii="Times New Roman" w:cs="Times New Roman" w:eastAsia="Times New Roman" w:hAnsi="Times New Roman"/>
          <w:sz w:val="17"/>
          <w:szCs w:val="17"/>
          <w:color w:val="auto"/>
        </w:rPr>
      </w:pPr>
    </w:p>
    <w:p>
      <w:pPr>
        <w:ind w:left="1180" w:right="240" w:hanging="630"/>
        <w:spacing w:after="0" w:line="274" w:lineRule="auto"/>
        <w:tabs>
          <w:tab w:leader="none" w:pos="1177"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7"/>
          <w:szCs w:val="17"/>
          <w:color w:val="auto"/>
        </w:rPr>
      </w:pPr>
    </w:p>
    <w:p>
      <w:pPr>
        <w:ind w:left="1180" w:right="540" w:hanging="630"/>
        <w:spacing w:after="0" w:line="274" w:lineRule="auto"/>
        <w:tabs>
          <w:tab w:leader="none" w:pos="1174"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7"/>
          <w:szCs w:val="17"/>
          <w:color w:val="auto"/>
        </w:rPr>
      </w:pPr>
    </w:p>
    <w:p>
      <w:pPr>
        <w:jc w:val="both"/>
        <w:ind w:left="1180" w:right="700" w:hanging="630"/>
        <w:spacing w:after="0" w:line="293" w:lineRule="auto"/>
        <w:tabs>
          <w:tab w:leader="none" w:pos="1177"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Times New Roman" w:cs="Times New Roman" w:eastAsia="Times New Roman" w:hAnsi="Times New Roman"/>
          <w:sz w:val="17"/>
          <w:szCs w:val="17"/>
          <w:color w:val="auto"/>
        </w:rPr>
      </w:pPr>
    </w:p>
    <w:p>
      <w:pPr>
        <w:ind w:left="1180" w:right="240" w:hanging="630"/>
        <w:spacing w:after="0" w:line="274" w:lineRule="auto"/>
        <w:tabs>
          <w:tab w:leader="none" w:pos="1174"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Times New Roman" w:cs="Times New Roman" w:eastAsia="Times New Roman" w:hAnsi="Times New Roman"/>
          <w:sz w:val="17"/>
          <w:szCs w:val="17"/>
          <w:color w:val="auto"/>
        </w:rPr>
      </w:pPr>
    </w:p>
    <w:p>
      <w:pPr>
        <w:ind w:left="540" w:right="500" w:hanging="536"/>
        <w:spacing w:after="0" w:line="293" w:lineRule="auto"/>
        <w:tabs>
          <w:tab w:leader="none" w:pos="5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7"/>
          <w:szCs w:val="17"/>
          <w:color w:val="auto"/>
        </w:rPr>
      </w:pPr>
    </w:p>
    <w:p>
      <w:pPr>
        <w:ind w:left="1180" w:right="140" w:hanging="630"/>
        <w:spacing w:after="0" w:line="293" w:lineRule="auto"/>
        <w:tabs>
          <w:tab w:leader="none" w:pos="1177"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Times New Roman" w:cs="Times New Roman" w:eastAsia="Times New Roman" w:hAnsi="Times New Roman"/>
          <w:sz w:val="17"/>
          <w:szCs w:val="17"/>
          <w:color w:val="auto"/>
        </w:rPr>
      </w:pPr>
    </w:p>
    <w:p>
      <w:pPr>
        <w:ind w:left="1180" w:right="120" w:hanging="630"/>
        <w:spacing w:after="0" w:line="293" w:lineRule="auto"/>
        <w:tabs>
          <w:tab w:leader="none" w:pos="1174"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20"/>
        <w:spacing w:after="0"/>
        <w:tabs>
          <w:tab w:leader="none" w:pos="5360" w:val="left"/>
          <w:tab w:leader="none" w:pos="7880" w:val="left"/>
        </w:tabs>
        <w:rPr>
          <w:sz w:val="20"/>
          <w:szCs w:val="20"/>
          <w:color w:val="auto"/>
        </w:rPr>
      </w:pPr>
      <w:r>
        <w:rPr>
          <w:rFonts w:ascii="Times New Roman" w:cs="Times New Roman" w:eastAsia="Times New Roman" w:hAnsi="Times New Roman"/>
          <w:sz w:val="17"/>
          <w:szCs w:val="17"/>
          <w:color w:val="auto"/>
        </w:rPr>
        <w:t>Date: June 10,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Mark McClain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3698875</wp:posOffset>
            </wp:positionH>
            <wp:positionV relativeFrom="paragraph">
              <wp:posOffset>36195</wp:posOffset>
            </wp:positionV>
            <wp:extent cx="34245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424555" cy="8255"/>
                    </a:xfrm>
                    <a:prstGeom prst="rect">
                      <a:avLst/>
                    </a:prstGeom>
                    <a:noFill/>
                  </pic:spPr>
                </pic:pic>
              </a:graphicData>
            </a:graphic>
          </wp:anchor>
        </w:drawing>
      </w:r>
    </w:p>
    <w:p>
      <w:pPr>
        <w:spacing w:after="0" w:line="55"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7"/>
          <w:szCs w:val="17"/>
          <w:b w:val="1"/>
          <w:bCs w:val="1"/>
          <w:color w:val="auto"/>
        </w:rPr>
        <w:t>Mark McClain</w:t>
      </w:r>
    </w:p>
    <w:p>
      <w:pPr>
        <w:spacing w:after="0" w:line="33"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12"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ectPr>
          <w:pgSz w:w="11900" w:h="16838" w:orient="portrait"/>
          <w:cols w:equalWidth="0" w:num="1">
            <w:col w:w="11240"/>
          </w:cols>
          <w:pgMar w:left="320" w:top="860"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Brian Carolan, certify that:</w:t>
      </w:r>
    </w:p>
    <w:p>
      <w:pPr>
        <w:spacing w:after="0" w:line="220" w:lineRule="exact"/>
        <w:rPr>
          <w:sz w:val="20"/>
          <w:szCs w:val="20"/>
          <w:color w:val="auto"/>
        </w:rPr>
      </w:pPr>
    </w:p>
    <w:p>
      <w:pPr>
        <w:ind w:left="620" w:hanging="616"/>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quarter ended April 30, 2026 of SailPoint, Inc.;</w:t>
      </w:r>
    </w:p>
    <w:p>
      <w:pPr>
        <w:spacing w:after="0" w:line="116" w:lineRule="exact"/>
        <w:rPr>
          <w:rFonts w:ascii="Times New Roman" w:cs="Times New Roman" w:eastAsia="Times New Roman" w:hAnsi="Times New Roman"/>
          <w:sz w:val="17"/>
          <w:szCs w:val="17"/>
          <w:color w:val="auto"/>
        </w:rPr>
      </w:pPr>
    </w:p>
    <w:p>
      <w:pPr>
        <w:ind w:left="620" w:right="60" w:hanging="616"/>
        <w:spacing w:after="0" w:line="293" w:lineRule="auto"/>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Times New Roman" w:cs="Times New Roman" w:eastAsia="Times New Roman" w:hAnsi="Times New Roman"/>
          <w:sz w:val="17"/>
          <w:szCs w:val="17"/>
          <w:color w:val="auto"/>
        </w:rPr>
      </w:pPr>
    </w:p>
    <w:p>
      <w:pPr>
        <w:ind w:left="620" w:right="500" w:hanging="616"/>
        <w:spacing w:after="0" w:line="293" w:lineRule="auto"/>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7"/>
          <w:szCs w:val="17"/>
          <w:color w:val="auto"/>
        </w:rPr>
      </w:pPr>
    </w:p>
    <w:p>
      <w:pPr>
        <w:ind w:left="620" w:hanging="616"/>
        <w:spacing w:after="0" w:line="293" w:lineRule="auto"/>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42" w:lineRule="exact"/>
        <w:rPr>
          <w:rFonts w:ascii="Times New Roman" w:cs="Times New Roman" w:eastAsia="Times New Roman" w:hAnsi="Times New Roman"/>
          <w:sz w:val="17"/>
          <w:szCs w:val="17"/>
          <w:color w:val="auto"/>
        </w:rPr>
      </w:pPr>
    </w:p>
    <w:p>
      <w:pPr>
        <w:ind w:left="1260" w:right="160" w:hanging="632"/>
        <w:spacing w:after="0" w:line="274" w:lineRule="auto"/>
        <w:tabs>
          <w:tab w:leader="none" w:pos="125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7"/>
          <w:szCs w:val="17"/>
          <w:color w:val="auto"/>
        </w:rPr>
      </w:pPr>
    </w:p>
    <w:p>
      <w:pPr>
        <w:ind w:left="1260" w:right="460" w:hanging="632"/>
        <w:spacing w:after="0" w:line="274" w:lineRule="auto"/>
        <w:tabs>
          <w:tab w:leader="none" w:pos="1254"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7"/>
          <w:szCs w:val="17"/>
          <w:color w:val="auto"/>
        </w:rPr>
      </w:pPr>
    </w:p>
    <w:p>
      <w:pPr>
        <w:jc w:val="both"/>
        <w:ind w:left="1260" w:right="620" w:hanging="632"/>
        <w:spacing w:after="0" w:line="293" w:lineRule="auto"/>
        <w:tabs>
          <w:tab w:leader="none" w:pos="125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Times New Roman" w:cs="Times New Roman" w:eastAsia="Times New Roman" w:hAnsi="Times New Roman"/>
          <w:sz w:val="17"/>
          <w:szCs w:val="17"/>
          <w:color w:val="auto"/>
        </w:rPr>
      </w:pPr>
    </w:p>
    <w:p>
      <w:pPr>
        <w:ind w:left="1260" w:right="160" w:hanging="632"/>
        <w:spacing w:after="0" w:line="274" w:lineRule="auto"/>
        <w:tabs>
          <w:tab w:leader="none" w:pos="1254"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Times New Roman" w:cs="Times New Roman" w:eastAsia="Times New Roman" w:hAnsi="Times New Roman"/>
          <w:sz w:val="17"/>
          <w:szCs w:val="17"/>
          <w:color w:val="auto"/>
        </w:rPr>
      </w:pPr>
    </w:p>
    <w:p>
      <w:pPr>
        <w:ind w:left="620" w:right="420" w:hanging="616"/>
        <w:spacing w:after="0" w:line="293" w:lineRule="auto"/>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7"/>
          <w:szCs w:val="17"/>
          <w:color w:val="auto"/>
        </w:rPr>
      </w:pPr>
    </w:p>
    <w:p>
      <w:pPr>
        <w:ind w:left="1260" w:right="80" w:hanging="632"/>
        <w:spacing w:after="0" w:line="293" w:lineRule="auto"/>
        <w:tabs>
          <w:tab w:leader="none" w:pos="125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Times New Roman" w:cs="Times New Roman" w:eastAsia="Times New Roman" w:hAnsi="Times New Roman"/>
          <w:sz w:val="17"/>
          <w:szCs w:val="17"/>
          <w:color w:val="auto"/>
        </w:rPr>
      </w:pPr>
    </w:p>
    <w:p>
      <w:pPr>
        <w:ind w:left="1260" w:right="40" w:hanging="632"/>
        <w:spacing w:after="0" w:line="293" w:lineRule="auto"/>
        <w:tabs>
          <w:tab w:leader="none" w:pos="1254"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20"/>
        <w:spacing w:after="0"/>
        <w:tabs>
          <w:tab w:leader="none" w:pos="5360" w:val="left"/>
          <w:tab w:leader="none" w:pos="7920" w:val="left"/>
        </w:tabs>
        <w:rPr>
          <w:sz w:val="20"/>
          <w:szCs w:val="20"/>
          <w:color w:val="auto"/>
        </w:rPr>
      </w:pPr>
      <w:r>
        <w:rPr>
          <w:rFonts w:ascii="Times New Roman" w:cs="Times New Roman" w:eastAsia="Times New Roman" w:hAnsi="Times New Roman"/>
          <w:sz w:val="17"/>
          <w:szCs w:val="17"/>
          <w:color w:val="auto"/>
        </w:rPr>
        <w:t>Date: June 10,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3698875</wp:posOffset>
            </wp:positionH>
            <wp:positionV relativeFrom="paragraph">
              <wp:posOffset>36195</wp:posOffset>
            </wp:positionV>
            <wp:extent cx="34245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424555" cy="8255"/>
                    </a:xfrm>
                    <a:prstGeom prst="rect">
                      <a:avLst/>
                    </a:prstGeom>
                    <a:noFill/>
                  </pic:spPr>
                </pic:pic>
              </a:graphicData>
            </a:graphic>
          </wp:anchor>
        </w:drawing>
      </w:r>
    </w:p>
    <w:p>
      <w:pPr>
        <w:spacing w:after="0" w:line="55"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7"/>
          <w:szCs w:val="17"/>
          <w:b w:val="1"/>
          <w:bCs w:val="1"/>
          <w:color w:val="auto"/>
        </w:rPr>
        <w:t>Brian Carolan</w:t>
      </w:r>
    </w:p>
    <w:p>
      <w:pPr>
        <w:spacing w:after="0" w:line="33"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12"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7"/>
          <w:szCs w:val="17"/>
          <w:b w:val="1"/>
          <w:bCs w:val="1"/>
          <w:color w:val="auto"/>
        </w:rPr>
        <w:t>(Principal Financial Officer)</w:t>
      </w:r>
    </w:p>
    <w:p>
      <w:pPr>
        <w:sectPr>
          <w:pgSz w:w="11900" w:h="16838" w:orient="portrait"/>
          <w:cols w:equalWidth="0" w:num="1">
            <w:col w:w="11240"/>
          </w:cols>
          <w:pgMar w:left="320" w:top="86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2" w:lineRule="exact"/>
        <w:rPr>
          <w:sz w:val="20"/>
          <w:szCs w:val="20"/>
          <w:color w:val="auto"/>
        </w:rPr>
      </w:pPr>
    </w:p>
    <w:p>
      <w:pPr>
        <w:ind w:right="20" w:firstLine="858"/>
        <w:spacing w:after="0" w:line="274" w:lineRule="auto"/>
        <w:rPr>
          <w:sz w:val="20"/>
          <w:szCs w:val="20"/>
          <w:color w:val="auto"/>
        </w:rPr>
      </w:pPr>
      <w:r>
        <w:rPr>
          <w:rFonts w:ascii="Times New Roman" w:cs="Times New Roman" w:eastAsia="Times New Roman" w:hAnsi="Times New Roman"/>
          <w:sz w:val="17"/>
          <w:szCs w:val="17"/>
          <w:color w:val="auto"/>
        </w:rPr>
        <w:t>In connection with the Quarterly Report on Form 10-Q for the quarter ended April 30, 2026 of SailPoint, Inc. (the “Company”), as filed with the Securities and Exchange Commission on the date hereof (the “Report”), I, Mark McClain, Chief Executive Officer of the Company, certify, pursuant to 18 U.S.C. Section 1350, as adopted pursuant to Section 906 of the Sarbanes-Oxley Act of 2002, that, to my knowledge:</w:t>
      </w:r>
    </w:p>
    <w:p>
      <w:pPr>
        <w:spacing w:after="0" w:line="162" w:lineRule="exact"/>
        <w:rPr>
          <w:sz w:val="20"/>
          <w:szCs w:val="20"/>
          <w:color w:val="auto"/>
        </w:rPr>
      </w:pPr>
    </w:p>
    <w:p>
      <w:pPr>
        <w:ind w:left="860" w:hanging="466"/>
        <w:spacing w:after="0"/>
        <w:tabs>
          <w:tab w:leader="none" w:pos="8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16" w:lineRule="exact"/>
        <w:rPr>
          <w:rFonts w:ascii="Times New Roman" w:cs="Times New Roman" w:eastAsia="Times New Roman" w:hAnsi="Times New Roman"/>
          <w:sz w:val="17"/>
          <w:szCs w:val="17"/>
          <w:color w:val="auto"/>
        </w:rPr>
      </w:pPr>
    </w:p>
    <w:p>
      <w:pPr>
        <w:ind w:left="860" w:hanging="466"/>
        <w:spacing w:after="0"/>
        <w:tabs>
          <w:tab w:leader="none" w:pos="8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72" w:lineRule="exact"/>
        <w:rPr>
          <w:sz w:val="20"/>
          <w:szCs w:val="20"/>
          <w:color w:val="auto"/>
        </w:rPr>
      </w:pPr>
    </w:p>
    <w:p>
      <w:pPr>
        <w:ind w:left="20"/>
        <w:spacing w:after="0"/>
        <w:tabs>
          <w:tab w:leader="none" w:pos="5360" w:val="left"/>
          <w:tab w:leader="none" w:pos="7880" w:val="left"/>
        </w:tabs>
        <w:rPr>
          <w:sz w:val="20"/>
          <w:szCs w:val="20"/>
          <w:color w:val="auto"/>
        </w:rPr>
      </w:pPr>
      <w:r>
        <w:rPr>
          <w:rFonts w:ascii="Times New Roman" w:cs="Times New Roman" w:eastAsia="Times New Roman" w:hAnsi="Times New Roman"/>
          <w:sz w:val="17"/>
          <w:szCs w:val="17"/>
          <w:color w:val="auto"/>
        </w:rPr>
        <w:t>Date: June 10,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Mark McClain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3698875</wp:posOffset>
            </wp:positionH>
            <wp:positionV relativeFrom="paragraph">
              <wp:posOffset>36195</wp:posOffset>
            </wp:positionV>
            <wp:extent cx="34245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424555" cy="8255"/>
                    </a:xfrm>
                    <a:prstGeom prst="rect">
                      <a:avLst/>
                    </a:prstGeom>
                    <a:noFill/>
                  </pic:spPr>
                </pic:pic>
              </a:graphicData>
            </a:graphic>
          </wp:anchor>
        </w:drawing>
      </w:r>
    </w:p>
    <w:p>
      <w:pPr>
        <w:spacing w:after="0" w:line="38"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7"/>
          <w:szCs w:val="17"/>
          <w:b w:val="1"/>
          <w:bCs w:val="1"/>
          <w:color w:val="auto"/>
        </w:rPr>
        <w:t>Mark McClain</w:t>
      </w:r>
    </w:p>
    <w:p>
      <w:pPr>
        <w:jc w:val="center"/>
        <w:ind w:left="5780"/>
        <w:spacing w:after="0" w:line="223" w:lineRule="auto"/>
        <w:rPr>
          <w:sz w:val="20"/>
          <w:szCs w:val="20"/>
          <w:color w:val="auto"/>
        </w:rPr>
      </w:pPr>
      <w:r>
        <w:rPr>
          <w:rFonts w:ascii="Times New Roman" w:cs="Times New Roman" w:eastAsia="Times New Roman" w:hAnsi="Times New Roman"/>
          <w:sz w:val="17"/>
          <w:szCs w:val="17"/>
          <w:b w:val="1"/>
          <w:bCs w:val="1"/>
          <w:color w:val="auto"/>
        </w:rPr>
        <w:t>Chief Executive Officer</w:t>
      </w:r>
    </w:p>
    <w:p>
      <w:pPr>
        <w:ind w:left="746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ectPr>
          <w:pgSz w:w="11900" w:h="16838" w:orient="portrait"/>
          <w:cols w:equalWidth="0" w:num="1">
            <w:col w:w="11240"/>
          </w:cols>
          <w:pgMar w:left="320" w:top="86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2" w:lineRule="exact"/>
        <w:rPr>
          <w:sz w:val="20"/>
          <w:szCs w:val="20"/>
          <w:color w:val="auto"/>
        </w:rPr>
      </w:pPr>
    </w:p>
    <w:p>
      <w:pPr>
        <w:ind w:right="120" w:firstLine="858"/>
        <w:spacing w:after="0" w:line="274" w:lineRule="auto"/>
        <w:rPr>
          <w:sz w:val="20"/>
          <w:szCs w:val="20"/>
          <w:color w:val="auto"/>
        </w:rPr>
      </w:pPr>
      <w:r>
        <w:rPr>
          <w:rFonts w:ascii="Times New Roman" w:cs="Times New Roman" w:eastAsia="Times New Roman" w:hAnsi="Times New Roman"/>
          <w:sz w:val="17"/>
          <w:szCs w:val="17"/>
          <w:color w:val="auto"/>
        </w:rPr>
        <w:t>In connection with the Quarterly Report on Form 10-Q for the quarter ended April 30, 2026 of SailPoint, Inc. (the “Company”), as filed with the Securities and Exchange Commission on the date hereof (the “Report”), I, Brian Carolan, Chief Financial Officer of the Company, certify, pursuant to 18 U.S.C. Section 1350, as adopted pursuant to Section 906 of the Sarbanes-Oxley Act of 2002, that, to my knowledge:</w:t>
      </w:r>
    </w:p>
    <w:p>
      <w:pPr>
        <w:spacing w:after="0" w:line="162" w:lineRule="exact"/>
        <w:rPr>
          <w:sz w:val="20"/>
          <w:szCs w:val="20"/>
          <w:color w:val="auto"/>
        </w:rPr>
      </w:pPr>
    </w:p>
    <w:p>
      <w:pPr>
        <w:ind w:left="860" w:hanging="466"/>
        <w:spacing w:after="0"/>
        <w:tabs>
          <w:tab w:leader="none" w:pos="8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16" w:lineRule="exact"/>
        <w:rPr>
          <w:rFonts w:ascii="Times New Roman" w:cs="Times New Roman" w:eastAsia="Times New Roman" w:hAnsi="Times New Roman"/>
          <w:sz w:val="17"/>
          <w:szCs w:val="17"/>
          <w:color w:val="auto"/>
        </w:rPr>
      </w:pPr>
    </w:p>
    <w:p>
      <w:pPr>
        <w:ind w:left="860" w:hanging="466"/>
        <w:spacing w:after="0"/>
        <w:tabs>
          <w:tab w:leader="none" w:pos="8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72" w:lineRule="exact"/>
        <w:rPr>
          <w:sz w:val="20"/>
          <w:szCs w:val="20"/>
          <w:color w:val="auto"/>
        </w:rPr>
      </w:pPr>
    </w:p>
    <w:p>
      <w:pPr>
        <w:ind w:left="20"/>
        <w:spacing w:after="0"/>
        <w:tabs>
          <w:tab w:leader="none" w:pos="5360" w:val="left"/>
          <w:tab w:leader="none" w:pos="7920" w:val="left"/>
        </w:tabs>
        <w:rPr>
          <w:sz w:val="20"/>
          <w:szCs w:val="20"/>
          <w:color w:val="auto"/>
        </w:rPr>
      </w:pPr>
      <w:r>
        <w:rPr>
          <w:rFonts w:ascii="Times New Roman" w:cs="Times New Roman" w:eastAsia="Times New Roman" w:hAnsi="Times New Roman"/>
          <w:sz w:val="17"/>
          <w:szCs w:val="17"/>
          <w:color w:val="auto"/>
        </w:rPr>
        <w:t>Date: June 10,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3698875</wp:posOffset>
            </wp:positionH>
            <wp:positionV relativeFrom="paragraph">
              <wp:posOffset>36195</wp:posOffset>
            </wp:positionV>
            <wp:extent cx="34245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424555" cy="8255"/>
                    </a:xfrm>
                    <a:prstGeom prst="rect">
                      <a:avLst/>
                    </a:prstGeom>
                    <a:noFill/>
                  </pic:spPr>
                </pic:pic>
              </a:graphicData>
            </a:graphic>
          </wp:anchor>
        </w:drawing>
      </w:r>
    </w:p>
    <w:p>
      <w:pPr>
        <w:spacing w:after="0" w:line="55"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7"/>
          <w:szCs w:val="17"/>
          <w:b w:val="1"/>
          <w:bCs w:val="1"/>
          <w:color w:val="auto"/>
        </w:rPr>
        <w:t>Brian Carolan</w:t>
      </w:r>
    </w:p>
    <w:p>
      <w:pPr>
        <w:spacing w:after="0" w:line="33"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12"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7"/>
          <w:szCs w:val="17"/>
          <w:b w:val="1"/>
          <w:bCs w:val="1"/>
          <w:color w:val="auto"/>
        </w:rPr>
        <w:t>(Principal Financial Officer)</w:t>
      </w:r>
    </w:p>
    <w:sectPr>
      <w:pgSz w:w="11900" w:h="16838" w:orient="portrait"/>
      <w:cols w:equalWidth="0" w:num="1">
        <w:col w:w="11240"/>
      </w:cols>
      <w:pgMar w:left="320" w:top="8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6"/>
    </w:lvl>
  </w:abstractNum>
  <w:abstractNum w:abstractNumId="6">
    <w:nsid w:val="1190CDE7"/>
    <w:multiLevelType w:val="hybridMultilevel"/>
    <w:lvl w:ilvl="0">
      <w:lvlJc w:val="left"/>
      <w:lvlText w:val="%1."/>
      <w:numFmt w:val="decimal"/>
      <w:start w:val="7"/>
    </w:lvl>
  </w:abstractNum>
  <w:abstractNum w:abstractNumId="7">
    <w:nsid w:val="66EF438D"/>
    <w:multiLevelType w:val="hybridMultilevel"/>
    <w:lvl w:ilvl="0">
      <w:lvlJc w:val="left"/>
      <w:lvlText w:val="%1."/>
      <w:numFmt w:val="decimal"/>
      <w:start w:val="10"/>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56" Type="http://schemas.openxmlformats.org/officeDocument/2006/relationships/hyperlink" Target="https://www.sec.gov/Archives/edgar/data/2030781/000119312525029643/d825799dex31.htm" TargetMode="External"/><Relationship Id="rId57" Type="http://schemas.openxmlformats.org/officeDocument/2006/relationships/hyperlink" Target="https://www.sec.gov/Archives/edgar/data/2030781/000119312525029643/d82579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2026-06-10T15:25:28Z</dcterms:created>
  <dcterms:modified xsi:type="dcterms:W3CDTF">2026-06-10T15:25:28Z</dcterms:modified>
</cp:coreProperties>
</file>