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176530</wp:posOffset>
            </wp:positionV>
            <wp:extent cx="1431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165100</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217170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SailPoint, Inc.</w:t>
      </w:r>
    </w:p>
    <w:p>
      <w:pPr>
        <w:spacing w:after="0" w:line="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w:t>
      </w:r>
    </w:p>
    <w:p>
      <w:pPr>
        <w:sectPr>
          <w:pgSz w:w="11900" w:h="16838" w:orient="portrait"/>
          <w:cols w:equalWidth="0" w:num="1">
            <w:col w:w="11080"/>
          </w:cols>
          <w:pgMar w:left="320" w:top="1280" w:right="499" w:bottom="1440" w:gutter="0" w:footer="0" w:header="0"/>
        </w:sectPr>
      </w:pPr>
    </w:p>
    <w:p>
      <w:pPr>
        <w:spacing w:after="0" w:line="45"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001-42522</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88-2001765</w:t>
      </w:r>
    </w:p>
    <w:p>
      <w:pPr>
        <w:spacing w:after="0" w:line="43" w:lineRule="exact"/>
        <w:rPr>
          <w:sz w:val="24"/>
          <w:szCs w:val="24"/>
          <w:color w:val="auto"/>
        </w:rPr>
      </w:pPr>
    </w:p>
    <w:p>
      <w:pPr>
        <w:sectPr>
          <w:pgSz w:w="11900" w:h="16838" w:orient="portrait"/>
          <w:cols w:equalWidth="0" w:num="3">
            <w:col w:w="4460" w:space="720"/>
            <w:col w:w="2660" w:space="720"/>
            <w:col w:w="2520"/>
          </w:cols>
          <w:pgMar w:left="320" w:top="1280" w:right="49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32" w:lineRule="exact"/>
        <w:rPr>
          <w:sz w:val="24"/>
          <w:szCs w:val="24"/>
          <w:color w:val="auto"/>
        </w:rPr>
      </w:pPr>
    </w:p>
    <w:p>
      <w:pPr>
        <w:sectPr>
          <w:pgSz w:w="11900" w:h="16838" w:orient="portrait"/>
          <w:cols w:equalWidth="0" w:num="3">
            <w:col w:w="4040" w:space="720"/>
            <w:col w:w="3060" w:space="720"/>
            <w:col w:w="2540"/>
          </w:cols>
          <w:pgMar w:left="320" w:top="1280" w:right="49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7740" w:space="720"/>
            <w:col w:w="2620"/>
          </w:cols>
          <w:pgMar w:left="320" w:top="1280" w:right="499" w:bottom="1440" w:gutter="0" w:footer="0" w:header="0"/>
          <w:type w:val="continuous"/>
        </w:sectPr>
      </w:pPr>
    </w:p>
    <w:p>
      <w:pPr>
        <w:spacing w:after="0" w:line="17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11120 Four Points Drive, Suite 100</w:t>
      </w:r>
    </w:p>
    <w:p>
      <w:pPr>
        <w:spacing w:after="0" w:line="36" w:lineRule="exact"/>
        <w:rPr>
          <w:sz w:val="24"/>
          <w:szCs w:val="24"/>
          <w:color w:val="auto"/>
        </w:rPr>
      </w:pPr>
    </w:p>
    <w:p>
      <w:pPr>
        <w:ind w:left="45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Austin, Texas</w:t>
      </w:r>
      <w:r>
        <w:rPr>
          <w:sz w:val="20"/>
          <w:szCs w:val="20"/>
          <w:color w:val="auto"/>
        </w:rPr>
        <w:tab/>
      </w:r>
      <w:r>
        <w:rPr>
          <w:rFonts w:ascii="Times New Roman" w:cs="Times New Roman" w:eastAsia="Times New Roman" w:hAnsi="Times New Roman"/>
          <w:sz w:val="14"/>
          <w:szCs w:val="14"/>
          <w:color w:val="auto"/>
        </w:rPr>
        <w:t>(Zip Code)</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78726</w:t>
      </w:r>
    </w:p>
    <w:p>
      <w:pPr>
        <w:spacing w:after="0" w:line="646" w:lineRule="exact"/>
        <w:rPr>
          <w:sz w:val="24"/>
          <w:szCs w:val="24"/>
          <w:color w:val="auto"/>
        </w:rPr>
      </w:pPr>
    </w:p>
    <w:p>
      <w:pPr>
        <w:sectPr>
          <w:pgSz w:w="11900" w:h="16838" w:orient="portrait"/>
          <w:cols w:equalWidth="0" w:num="2">
            <w:col w:w="6760" w:space="80"/>
            <w:col w:w="4240"/>
          </w:cols>
          <w:pgMar w:left="320" w:top="1280" w:right="499" w:bottom="1440" w:gutter="0" w:footer="0" w:header="0"/>
          <w:type w:val="continuous"/>
        </w:sectPr>
      </w:pPr>
    </w:p>
    <w:p>
      <w:pPr>
        <w:spacing w:after="0" w:line="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346-2000</w:t>
      </w:r>
    </w:p>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67310</wp:posOffset>
            </wp:positionV>
            <wp:extent cx="1431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97" w:lineRule="exact"/>
        <w:rPr>
          <w:sz w:val="24"/>
          <w:szCs w:val="24"/>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1480" w:hanging="1454"/>
        <w:spacing w:after="0"/>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4"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5"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5" w:lineRule="exact"/>
        <w:rPr>
          <w:rFonts w:ascii="MS PGothic" w:cs="MS PGothic" w:eastAsia="MS PGothic" w:hAnsi="MS PGothic"/>
          <w:sz w:val="43"/>
          <w:szCs w:val="43"/>
          <w:color w:val="auto"/>
          <w:vertAlign w:val="subscript"/>
        </w:rPr>
      </w:pPr>
    </w:p>
    <w:p>
      <w:pPr>
        <w:ind w:left="1480" w:hanging="1454"/>
        <w:spacing w:after="0" w:line="186" w:lineRule="auto"/>
        <w:tabs>
          <w:tab w:leader="none" w:pos="14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40" w:type="dxa"/>
            <w:vAlign w:val="bottom"/>
          </w:tcPr>
          <w:p>
            <w:pPr>
              <w:spacing w:after="0"/>
              <w:rPr>
                <w:sz w:val="16"/>
                <w:szCs w:val="16"/>
                <w:color w:val="auto"/>
              </w:rPr>
            </w:pPr>
          </w:p>
        </w:tc>
      </w:tr>
      <w:tr>
        <w:trPr>
          <w:trHeight w:val="190"/>
        </w:trPr>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64"/>
        </w:trPr>
        <w:tc>
          <w:tcPr>
            <w:tcW w:w="41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140" w:type="dxa"/>
            <w:vAlign w:val="bottom"/>
            <w:tcBorders>
              <w:bottom w:val="single" w:sz="8" w:color="auto"/>
            </w:tcBorders>
          </w:tcPr>
          <w:p>
            <w:pPr>
              <w:spacing w:after="0"/>
              <w:rPr>
                <w:sz w:val="5"/>
                <w:szCs w:val="5"/>
                <w:color w:val="auto"/>
              </w:rPr>
            </w:pPr>
          </w:p>
        </w:tc>
      </w:tr>
      <w:tr>
        <w:trPr>
          <w:trHeight w:val="290"/>
        </w:trPr>
        <w:tc>
          <w:tcPr>
            <w:tcW w:w="4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SAIL</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52" w:lineRule="exact"/>
        <w:rPr>
          <w:sz w:val="24"/>
          <w:szCs w:val="24"/>
          <w:color w:val="auto"/>
        </w:rPr>
      </w:pPr>
    </w:p>
    <w:p>
      <w:pPr>
        <w:ind w:right="1640"/>
        <w:spacing w:after="0" w:line="31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8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June 4, 2026, SailPoint, Inc. (the “Company”) held its 2026 Annual Meeting of Stockholders (the “Annual Meeting”). As of April 6, 2026, the record date for the Annual Meeting, 567,223,431 shares of the Company’s common stock were outstanding and entitled to vote at the Annual Meeting. A summary of the matters voted upon by the stockholders and the final voting results for each such matter are set forth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Directors to the Board</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following persons was duly elected by the Company’s stockholders as a Class I director of the Company’s Board of Directors (the “Board”) for the term expiring in 2029, with votes as follows:</w:t>
      </w:r>
    </w:p>
    <w:p>
      <w:pPr>
        <w:spacing w:after="0" w:line="13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Nominee</w:t>
            </w:r>
          </w:p>
        </w:tc>
        <w:tc>
          <w:tcPr>
            <w:tcW w:w="1360" w:type="dxa"/>
            <w:vAlign w:val="bottom"/>
          </w:tcPr>
          <w:p>
            <w:pPr>
              <w:spacing w:after="0"/>
              <w:rPr>
                <w:sz w:val="17"/>
                <w:szCs w:val="17"/>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7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Bock</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507,509,417</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17,665,559</w:t>
            </w:r>
          </w:p>
        </w:tc>
        <w:tc>
          <w:tcPr>
            <w:tcW w:w="7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23,697,705</w:t>
            </w:r>
          </w:p>
        </w:tc>
      </w:tr>
      <w:tr>
        <w:trPr>
          <w:trHeight w:val="25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Sacha May</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509,286,722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15,888,254</w:t>
            </w:r>
          </w:p>
        </w:tc>
        <w:tc>
          <w:tcPr>
            <w:tcW w:w="7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23,697,705</w:t>
            </w:r>
          </w:p>
        </w:tc>
      </w:tr>
      <w:tr>
        <w:trPr>
          <w:trHeight w:val="25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McClain</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510,042,793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15,132,183</w:t>
            </w:r>
          </w:p>
        </w:tc>
        <w:tc>
          <w:tcPr>
            <w:tcW w:w="7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23,697,705</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the Company’s Independent Registered Public Accounting Firm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appointment of Ernst &amp; Young LLP as the Company’s independent registered public accounting firm for the fiscal year ending January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was ratified by the stockholders, with votes as follows:</w:t>
      </w: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780" w:type="dxa"/>
            <w:vAlign w:val="bottom"/>
          </w:tcPr>
          <w:p>
            <w:pPr>
              <w:spacing w:after="0"/>
              <w:rPr>
                <w:sz w:val="17"/>
                <w:szCs w:val="17"/>
                <w:color w:val="auto"/>
              </w:rPr>
            </w:pPr>
          </w:p>
        </w:tc>
        <w:tc>
          <w:tcPr>
            <w:tcW w:w="20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620" w:type="dxa"/>
            <w:vAlign w:val="bottom"/>
            <w:gridSpan w:val="3"/>
          </w:tcPr>
          <w:p>
            <w:pPr>
              <w:jc w:val="right"/>
              <w:ind w:right="1720"/>
              <w:spacing w:after="0"/>
              <w:rPr>
                <w:sz w:val="20"/>
                <w:szCs w:val="20"/>
                <w:color w:val="auto"/>
              </w:rPr>
            </w:pPr>
            <w:r>
              <w:rPr>
                <w:rFonts w:ascii="Times New Roman" w:cs="Times New Roman" w:eastAsia="Times New Roman" w:hAnsi="Times New Roman"/>
                <w:sz w:val="18"/>
                <w:szCs w:val="18"/>
                <w:color w:val="auto"/>
                <w:w w:val="97"/>
              </w:rPr>
              <w:t>548,703,054</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146,640</w:t>
            </w:r>
          </w:p>
        </w:tc>
        <w:tc>
          <w:tcPr>
            <w:tcW w:w="780" w:type="dxa"/>
            <w:vAlign w:val="bottom"/>
          </w:tcPr>
          <w:p>
            <w:pPr>
              <w:spacing w:after="0"/>
              <w:rPr>
                <w:sz w:val="24"/>
                <w:szCs w:val="24"/>
                <w:color w:val="auto"/>
              </w:rPr>
            </w:pPr>
          </w:p>
        </w:tc>
        <w:tc>
          <w:tcPr>
            <w:tcW w:w="2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22,987</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Advisory Vote on our Named Executive Officer Compensation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our named executive officer compensation, with votes as follows:</w:t>
      </w:r>
    </w:p>
    <w:p>
      <w:pPr>
        <w:spacing w:after="0" w:line="198"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100" w:type="dxa"/>
            <w:vAlign w:val="bottom"/>
          </w:tcPr>
          <w:p>
            <w:pPr>
              <w:spacing w:after="0"/>
              <w:rPr>
                <w:sz w:val="18"/>
                <w:szCs w:val="18"/>
                <w:color w:val="auto"/>
              </w:rPr>
            </w:pPr>
          </w:p>
        </w:tc>
        <w:tc>
          <w:tcPr>
            <w:tcW w:w="19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7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92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w w:val="97"/>
              </w:rPr>
              <w:t>511,952,321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13,202,220</w:t>
            </w:r>
          </w:p>
        </w:tc>
        <w:tc>
          <w:tcPr>
            <w:tcW w:w="860" w:type="dxa"/>
            <w:vAlign w:val="bottom"/>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20,435</w:t>
            </w:r>
          </w:p>
        </w:tc>
        <w:tc>
          <w:tcPr>
            <w:tcW w:w="34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23,697,705</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 – Advisory Vote on the Frequency of Future Advisory Votes on our Named Executive Officer Compensation</w:t>
      </w:r>
    </w:p>
    <w:p>
      <w:pPr>
        <w:spacing w:after="0" w:line="15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the frequency of future advisory votes on our named executive officer compensation of every one year, with votes as follows:</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1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0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Votes Abstained</w:t>
            </w:r>
          </w:p>
        </w:tc>
        <w:tc>
          <w:tcPr>
            <w:tcW w:w="17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7"/>
              </w:rPr>
              <w:t>524,452,636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17,254</w:t>
            </w:r>
          </w:p>
        </w:tc>
        <w:tc>
          <w:tcPr>
            <w:tcW w:w="540" w:type="dxa"/>
            <w:vAlign w:val="bottom"/>
          </w:tcPr>
          <w:p>
            <w:pPr>
              <w:spacing w:after="0"/>
              <w:rPr>
                <w:sz w:val="24"/>
                <w:szCs w:val="24"/>
                <w:color w:val="auto"/>
              </w:rPr>
            </w:pPr>
          </w:p>
        </w:tc>
        <w:tc>
          <w:tcPr>
            <w:tcW w:w="20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691,693</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13,393</w:t>
            </w:r>
          </w:p>
        </w:tc>
        <w:tc>
          <w:tcPr>
            <w:tcW w:w="36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23,697,705</w:t>
            </w:r>
          </w:p>
        </w:tc>
      </w:tr>
    </w:tbl>
    <w:p>
      <w:pPr>
        <w:spacing w:after="0" w:line="184"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voting results for this proposal, the Board has determined that an advisory vote to approve named executive officer compensation will be conducted every year until the next stockholder advisory vote on the frequency of future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3"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8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SAILPOINT, INC.</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38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/s/ Chris Schmitt</w:t>
            </w:r>
          </w:p>
        </w:tc>
        <w:tc>
          <w:tcPr>
            <w:tcW w:w="0" w:type="dxa"/>
            <w:vAlign w:val="bottom"/>
          </w:tcPr>
          <w:p>
            <w:pPr>
              <w:spacing w:after="0"/>
              <w:rPr>
                <w:sz w:val="1"/>
                <w:szCs w:val="1"/>
                <w:color w:val="auto"/>
              </w:rPr>
            </w:pPr>
          </w:p>
        </w:tc>
      </w:tr>
      <w:tr>
        <w:trPr>
          <w:trHeight w:val="68"/>
        </w:trPr>
        <w:tc>
          <w:tcPr>
            <w:tcW w:w="3100" w:type="dxa"/>
            <w:vAlign w:val="bottom"/>
            <w:vMerge w:val="continue"/>
          </w:tcPr>
          <w:p>
            <w:pPr>
              <w:spacing w:after="0"/>
              <w:rPr>
                <w:sz w:val="5"/>
                <w:szCs w:val="5"/>
                <w:color w:val="auto"/>
              </w:rPr>
            </w:pPr>
          </w:p>
        </w:tc>
        <w:tc>
          <w:tcPr>
            <w:tcW w:w="380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tbl>
      <w:tblPr>
        <w:tblLayout w:type="fixed"/>
        <w:tblInd w:w="5080" w:type="dxa"/>
        <w:tblCellMar>
          <w:top w:w="0" w:type="dxa"/>
          <w:left w:w="0" w:type="dxa"/>
          <w:bottom w:w="0" w:type="dxa"/>
          <w:right w:w="0" w:type="dxa"/>
        </w:tblCellMar>
      </w:tblPr>
      <w:tr>
        <w:trPr>
          <w:trHeight w:val="24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Chris Schmitt</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5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2026-06-10T15:59:00Z</dcterms:created>
  <dcterms:modified xsi:type="dcterms:W3CDTF">2026-06-10T15:59:00Z</dcterms:modified>
</cp:coreProperties>
</file>