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176530</wp:posOffset>
            </wp:positionV>
            <wp:extent cx="14312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165100</wp:posOffset>
            </wp:positionV>
            <wp:extent cx="1431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217170</wp:posOffset>
            </wp:positionV>
            <wp:extent cx="1431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SailPoint, Inc.</w:t>
      </w:r>
    </w:p>
    <w:p>
      <w:pPr>
        <w:spacing w:after="0" w:line="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3"/>
          <w:szCs w:val="13"/>
          <w:b w:val="1"/>
          <w:bCs w:val="1"/>
          <w:color w:val="auto"/>
        </w:rPr>
        <w:t>---------------------------------------------------------------------------------------</w:t>
      </w:r>
    </w:p>
    <w:p>
      <w:pPr>
        <w:sectPr>
          <w:pgSz w:w="11900" w:h="16838" w:orient="portrait"/>
          <w:cols w:equalWidth="0" w:num="1">
            <w:col w:w="11080"/>
          </w:cols>
          <w:pgMar w:left="320" w:top="1280" w:right="499" w:bottom="1440" w:gutter="0" w:footer="0" w:header="0"/>
        </w:sectPr>
      </w:pPr>
    </w:p>
    <w:p>
      <w:pPr>
        <w:spacing w:after="0" w:line="45"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001-42522</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88-2001765</w:t>
      </w:r>
    </w:p>
    <w:p>
      <w:pPr>
        <w:spacing w:after="0" w:line="43" w:lineRule="exact"/>
        <w:rPr>
          <w:sz w:val="24"/>
          <w:szCs w:val="24"/>
          <w:color w:val="auto"/>
        </w:rPr>
      </w:pPr>
    </w:p>
    <w:p>
      <w:pPr>
        <w:sectPr>
          <w:pgSz w:w="11900" w:h="16838" w:orient="portrait"/>
          <w:cols w:equalWidth="0" w:num="3">
            <w:col w:w="4460" w:space="720"/>
            <w:col w:w="2660" w:space="720"/>
            <w:col w:w="2520"/>
          </w:cols>
          <w:pgMar w:left="320" w:top="1280" w:right="499"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line="32" w:lineRule="exact"/>
        <w:rPr>
          <w:sz w:val="24"/>
          <w:szCs w:val="24"/>
          <w:color w:val="auto"/>
        </w:rPr>
      </w:pPr>
    </w:p>
    <w:p>
      <w:pPr>
        <w:sectPr>
          <w:pgSz w:w="11900" w:h="16838" w:orient="portrait"/>
          <w:cols w:equalWidth="0" w:num="3">
            <w:col w:w="4040" w:space="720"/>
            <w:col w:w="3060" w:space="720"/>
            <w:col w:w="2540"/>
          </w:cols>
          <w:pgMar w:left="320" w:top="1280" w:right="49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38" w:orient="portrait"/>
          <w:cols w:equalWidth="0" w:num="2">
            <w:col w:w="7740" w:space="720"/>
            <w:col w:w="2620"/>
          </w:cols>
          <w:pgMar w:left="320" w:top="1280" w:right="499" w:bottom="1440" w:gutter="0" w:footer="0" w:header="0"/>
          <w:type w:val="continuous"/>
        </w:sectPr>
      </w:pPr>
    </w:p>
    <w:p>
      <w:pPr>
        <w:spacing w:after="0" w:line="17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11120 Four Points Drive, Suite 100</w:t>
      </w:r>
    </w:p>
    <w:p>
      <w:pPr>
        <w:spacing w:after="0" w:line="36" w:lineRule="exact"/>
        <w:rPr>
          <w:sz w:val="24"/>
          <w:szCs w:val="24"/>
          <w:color w:val="auto"/>
        </w:rPr>
      </w:pPr>
    </w:p>
    <w:p>
      <w:pPr>
        <w:ind w:left="45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Austin, Texas</w:t>
      </w:r>
      <w:r>
        <w:rPr>
          <w:sz w:val="20"/>
          <w:szCs w:val="20"/>
          <w:color w:val="auto"/>
        </w:rPr>
        <w:tab/>
      </w:r>
      <w:r>
        <w:rPr>
          <w:rFonts w:ascii="Times New Roman" w:cs="Times New Roman" w:eastAsia="Times New Roman" w:hAnsi="Times New Roman"/>
          <w:sz w:val="14"/>
          <w:szCs w:val="14"/>
          <w:color w:val="auto"/>
        </w:rPr>
        <w:t>(Zip Code)</w:t>
      </w:r>
    </w:p>
    <w:p>
      <w:pPr>
        <w:spacing w:after="0" w:line="3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78726</w:t>
      </w:r>
    </w:p>
    <w:p>
      <w:pPr>
        <w:spacing w:after="0" w:line="646" w:lineRule="exact"/>
        <w:rPr>
          <w:sz w:val="24"/>
          <w:szCs w:val="24"/>
          <w:color w:val="auto"/>
        </w:rPr>
      </w:pPr>
    </w:p>
    <w:p>
      <w:pPr>
        <w:sectPr>
          <w:pgSz w:w="11900" w:h="16838" w:orient="portrait"/>
          <w:cols w:equalWidth="0" w:num="2">
            <w:col w:w="6760" w:space="80"/>
            <w:col w:w="4240"/>
          </w:cols>
          <w:pgMar w:left="320" w:top="1280" w:right="499" w:bottom="1440" w:gutter="0" w:footer="0" w:header="0"/>
          <w:type w:val="continuous"/>
        </w:sectPr>
      </w:pPr>
    </w:p>
    <w:p>
      <w:pPr>
        <w:spacing w:after="0" w:line="6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(512) 346-2000</w:t>
      </w:r>
    </w:p>
    <w:p>
      <w:pPr>
        <w:spacing w:after="0" w:line="1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67310</wp:posOffset>
            </wp:positionV>
            <wp:extent cx="1431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97" w:lineRule="exact"/>
        <w:rPr>
          <w:sz w:val="24"/>
          <w:szCs w:val="24"/>
          <w:color w:val="auto"/>
        </w:rPr>
      </w:pPr>
    </w:p>
    <w:p>
      <w:pPr>
        <w:ind w:right="520"/>
        <w:spacing w:after="0" w:line="26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1480" w:hanging="1454"/>
        <w:spacing w:after="0"/>
        <w:tabs>
          <w:tab w:leader="none" w:pos="14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4" w:lineRule="exact"/>
        <w:rPr>
          <w:rFonts w:ascii="MS PGothic" w:cs="MS PGothic" w:eastAsia="MS PGothic" w:hAnsi="MS PGothic"/>
          <w:sz w:val="43"/>
          <w:szCs w:val="43"/>
          <w:color w:val="auto"/>
          <w:vertAlign w:val="subscript"/>
        </w:rPr>
      </w:pPr>
    </w:p>
    <w:p>
      <w:pPr>
        <w:ind w:left="1480" w:hanging="1454"/>
        <w:spacing w:after="0" w:line="186" w:lineRule="auto"/>
        <w:tabs>
          <w:tab w:leader="none" w:pos="14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5" w:lineRule="exact"/>
        <w:rPr>
          <w:rFonts w:ascii="MS PGothic" w:cs="MS PGothic" w:eastAsia="MS PGothic" w:hAnsi="MS PGothic"/>
          <w:sz w:val="43"/>
          <w:szCs w:val="43"/>
          <w:color w:val="auto"/>
          <w:vertAlign w:val="subscript"/>
        </w:rPr>
      </w:pPr>
    </w:p>
    <w:p>
      <w:pPr>
        <w:ind w:left="1480" w:hanging="1454"/>
        <w:spacing w:after="0" w:line="186" w:lineRule="auto"/>
        <w:tabs>
          <w:tab w:leader="none" w:pos="14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5" w:lineRule="exact"/>
        <w:rPr>
          <w:rFonts w:ascii="MS PGothic" w:cs="MS PGothic" w:eastAsia="MS PGothic" w:hAnsi="MS PGothic"/>
          <w:sz w:val="43"/>
          <w:szCs w:val="43"/>
          <w:color w:val="auto"/>
          <w:vertAlign w:val="subscript"/>
        </w:rPr>
      </w:pPr>
    </w:p>
    <w:p>
      <w:pPr>
        <w:ind w:left="1480" w:hanging="1454"/>
        <w:spacing w:after="0" w:line="186" w:lineRule="auto"/>
        <w:tabs>
          <w:tab w:leader="none" w:pos="14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40" w:type="dxa"/>
            <w:vAlign w:val="bottom"/>
          </w:tcPr>
          <w:p>
            <w:pPr>
              <w:spacing w:after="0"/>
              <w:rPr>
                <w:sz w:val="16"/>
                <w:szCs w:val="16"/>
                <w:color w:val="auto"/>
              </w:rPr>
            </w:pPr>
          </w:p>
        </w:tc>
      </w:tr>
      <w:tr>
        <w:trPr>
          <w:trHeight w:val="190"/>
        </w:trPr>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64"/>
        </w:trPr>
        <w:tc>
          <w:tcPr>
            <w:tcW w:w="41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140" w:type="dxa"/>
            <w:vAlign w:val="bottom"/>
            <w:tcBorders>
              <w:bottom w:val="single" w:sz="8" w:color="auto"/>
            </w:tcBorders>
          </w:tcPr>
          <w:p>
            <w:pPr>
              <w:spacing w:after="0"/>
              <w:rPr>
                <w:sz w:val="5"/>
                <w:szCs w:val="5"/>
                <w:color w:val="auto"/>
              </w:rPr>
            </w:pPr>
          </w:p>
        </w:tc>
      </w:tr>
      <w:tr>
        <w:trPr>
          <w:trHeight w:val="290"/>
        </w:trPr>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SAIL</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52" w:lineRule="exact"/>
        <w:rPr>
          <w:sz w:val="24"/>
          <w:szCs w:val="24"/>
          <w:color w:val="auto"/>
        </w:rPr>
      </w:pPr>
    </w:p>
    <w:p>
      <w:pPr>
        <w:ind w:right="1640"/>
        <w:spacing w:after="0" w:line="31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280" w:right="499" w:bottom="1440" w:gutter="0" w:footer="0" w:header="0"/>
          <w:type w:val="continuous"/>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9, 2026, SailPoint, Inc. (the “Company”) announced its financial results for the fiscal quarter ended April 30, 2026 and posted the Company’s earnings release and related presentation for such quarter on its investor relations website. A copy of this earnings release is furnished as Exhibit 99.1 to this Current Report on Form 8-K and incorporated by reference into this Item 2.02.</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including the earnings release incorporated into this Item 2.02,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 except as shall be expressly set forth by specific reference in such filing.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172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95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0000FF"/>
              </w:rPr>
              <w:t>Earnings release dated June 9, 2026.</w:t>
            </w:r>
          </w:p>
        </w:tc>
      </w:tr>
      <w:tr>
        <w:trPr>
          <w:trHeight w:val="20"/>
        </w:trPr>
        <w:tc>
          <w:tcPr>
            <w:tcW w:w="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27"/>
        </w:trPr>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3"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372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SAILPOINT, INC.</w:t>
            </w:r>
          </w:p>
        </w:tc>
        <w:tc>
          <w:tcPr>
            <w:tcW w:w="4080" w:type="dxa"/>
            <w:vAlign w:val="bottom"/>
          </w:tcPr>
          <w:p>
            <w:pPr>
              <w:spacing w:after="0"/>
              <w:rPr>
                <w:sz w:val="20"/>
                <w:szCs w:val="20"/>
                <w:color w:val="auto"/>
              </w:rPr>
            </w:pPr>
          </w:p>
        </w:tc>
      </w:tr>
      <w:tr>
        <w:trPr>
          <w:trHeight w:val="90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37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/s/ Brian Carolan</w:t>
            </w:r>
          </w:p>
        </w:tc>
      </w:tr>
      <w:tr>
        <w:trPr>
          <w:trHeight w:val="54"/>
        </w:trPr>
        <w:tc>
          <w:tcPr>
            <w:tcW w:w="30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r>
      <w:tr>
        <w:trPr>
          <w:trHeight w:val="291"/>
        </w:trPr>
        <w:tc>
          <w:tcPr>
            <w:tcW w:w="3060" w:type="dxa"/>
            <w:vAlign w:val="bottom"/>
          </w:tcPr>
          <w:p>
            <w:pPr>
              <w:spacing w:after="0"/>
              <w:rPr>
                <w:sz w:val="24"/>
                <w:szCs w:val="24"/>
                <w:color w:val="auto"/>
              </w:rPr>
            </w:pPr>
          </w:p>
        </w:tc>
        <w:tc>
          <w:tcPr>
            <w:tcW w:w="37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Brian Carolan</w:t>
            </w:r>
          </w:p>
        </w:tc>
      </w:tr>
      <w:tr>
        <w:trPr>
          <w:trHeight w:val="378"/>
        </w:trPr>
        <w:tc>
          <w:tcPr>
            <w:tcW w:w="3060" w:type="dxa"/>
            <w:vAlign w:val="bottom"/>
          </w:tcPr>
          <w:p>
            <w:pPr>
              <w:spacing w:after="0"/>
              <w:rPr>
                <w:sz w:val="24"/>
                <w:szCs w:val="24"/>
                <w:color w:val="auto"/>
              </w:rPr>
            </w:pPr>
          </w:p>
        </w:tc>
        <w:tc>
          <w:tcPr>
            <w:tcW w:w="37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40"/>
          </w:cols>
          <w:pgMar w:left="320" w:top="102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SailPoint Announces Fiscal First Quarter 2027 Results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ARR 26% year-over-year to $1,163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SaaS ARR 36% year-over-year to $781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cash flows from operating activities of $38 million, and free cash flow of $33 million</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AUSTIN, Texas--June 9, 2026—</w:t>
      </w:r>
      <w:r>
        <w:rPr>
          <w:rFonts w:ascii="Times New Roman" w:cs="Times New Roman" w:eastAsia="Times New Roman" w:hAnsi="Times New Roman"/>
          <w:sz w:val="18"/>
          <w:szCs w:val="18"/>
          <w:color w:val="auto"/>
        </w:rPr>
        <w:t>SailPoint, Inc. (Nasdaq: SAIL), a leader in enterprise identity security, today announced financial results for its fiscal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April 30, 2026.</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strong start to fiscal 2027, marked by robust top- and bottom-line growth, underscores the critical market demand for comprehensive identity security,” said Mark McClain, SailPoint CEO and Founder. “Securing identity is a prerequisite for modern innovation. By delivering a unified framework that protects human identities, cloud resources, and autonomous AI agents, SailPoint transforms identity into a powerful security advantage. As regulatory frameworks intensify the mandate for strict controls over non-human identities, our unified, real-time approach empowers many of the world's largest enterprises to harness the potential of artificial intelligence with confidence.”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First Quarter 2027 Financial Highlights</w:t>
      </w:r>
    </w:p>
    <w:p>
      <w:pPr>
        <w:spacing w:after="0" w:line="225" w:lineRule="exact"/>
        <w:rPr>
          <w:sz w:val="20"/>
          <w:szCs w:val="20"/>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Recurring Revenue (ARR)</w:t>
      </w:r>
      <w:r>
        <w:rPr>
          <w:rFonts w:ascii="Times New Roman" w:cs="Times New Roman" w:eastAsia="Times New Roman" w:hAnsi="Times New Roman"/>
          <w:sz w:val="18"/>
          <w:szCs w:val="18"/>
          <w:color w:val="auto"/>
        </w:rPr>
        <w:t>: Total ARR was $1,163 million, an increase of 26% year-over-year. SaaS ARR was $781 million, an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36% year-over-year.</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18"/>
          <w:szCs w:val="18"/>
          <w:color w:val="auto"/>
        </w:rPr>
        <w:t>: Total revenue was $280 million, an increase of 22% year-over-year. Subscription revenue was $266 million, an increase of 23% year-over-year.</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(Loss): </w:t>
      </w:r>
      <w:r>
        <w:rPr>
          <w:rFonts w:ascii="Times New Roman" w:cs="Times New Roman" w:eastAsia="Times New Roman" w:hAnsi="Times New Roman"/>
          <w:sz w:val="18"/>
          <w:szCs w:val="18"/>
          <w:color w:val="auto"/>
        </w:rPr>
        <w:t>GAAP operating loss was $(80) million, or (28)% of revenue, in fiscal Q1 2027, compared to $(185) million, or (80)%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revenue, in fiscal Q1 2026. Adjusted income from operations was $38 million, or 14% of revenue, in fiscal Q1 2027, compared to $24 million, or 10% of revenue, in fiscal Q1 2026.</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and full year of fiscal 2027, SailPoint expects (in millions, except per share amounts and percentages):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Q2’27 Guidance</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FY’27 Guidance</w:t>
            </w:r>
          </w:p>
        </w:tc>
      </w:tr>
      <w:tr>
        <w:trPr>
          <w:trHeight w:val="218"/>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ARR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$1,218 to $1,222</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$1,364 to $1,374</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ARR YoY growth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 to 22%</w:t>
            </w:r>
          </w:p>
        </w:tc>
      </w:tr>
      <w:tr>
        <w:trPr>
          <w:trHeight w:val="49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$308 to $312</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$1,265 to $1,275</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YoY growth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 to 18%</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 to 19%</w:t>
            </w:r>
          </w:p>
        </w:tc>
      </w:tr>
      <w:tr>
        <w:trPr>
          <w:trHeight w:val="49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$56.5 to $57.5</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$239 to $244</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margin %</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 to 18.7%</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18.7% to 19.3%</w:t>
            </w:r>
          </w:p>
        </w:tc>
      </w:tr>
      <w:tr>
        <w:trPr>
          <w:trHeight w:val="49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Adjusted earnings per share (Adjusted EPS)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$0.07 to $0.08</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 to $0.34</w:t>
            </w:r>
          </w:p>
        </w:tc>
      </w:tr>
    </w:tbl>
    <w:p>
      <w:pPr>
        <w:sectPr>
          <w:pgSz w:w="11900" w:h="16838" w:orient="portrait"/>
          <w:cols w:equalWidth="0" w:num="1">
            <w:col w:w="11240"/>
          </w:cols>
          <w:pgMar w:left="320" w:top="1427" w:right="339" w:bottom="1440" w:gutter="0" w:footer="0" w:header="0"/>
        </w:sectPr>
      </w:pPr>
    </w:p>
    <w:bookmarkStart w:id="4" w:name="page5"/>
    <w:bookmarkEnd w:id="4"/>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regarding SailPoint’s expectations of its financial outlook are forward-looking, and actual results may differ materially. Refer to “Forward-Looking Statements” below for information on the factors that could cause SailPoint’s actual results to differ materially from these forward-looking statements.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SailPoint’s forward-looking non-GAAP financial measures exclude estimates for stock-based compensation expense, payroll taxes related to restricted stock units (RSUs), and amortization of acquired intangibles as well as acquisition-related costs and severance of certain key executives, if applicable. SailPoint has not reconciled its expectations as to adjusted income (loss) from operations, adjusted operating margin, and adjusted EPS to their most directly comparable GAAP measures due to the high variability and difficulty in making accurate forecasts and projections of certain items that impact these non-GAAP measures, particularly stock-based compensation expense. Stock-based compensation expense is affected by future hiring, turnover, and retention needs, as well as the future fair market value of our common stock, all of which are difficult to predict and subject to change. The actual amount of the excluded stock-based compensation expense will have a significant impact on SailPoint’s GAAP income (loss) from operations and GAAP net income (loss) per basic and diluted common share. Accordingly, reconciliations of our forward-looking adjusted income (loss) from operations, adjusted operating margin, and adjusted EPS to their most directly comparable GAAP measures are not available without unreasonable effort.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Webcast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SailPoint will host a conference call today at 8:30 a.m. Eastern Time to discuss the results and outlook. A live webcast of the conference call and a presentation regarding SailPoint’s fiscal first quarter 2027 financial results and outlook will be available on SailPoint’s website at </w:t>
      </w:r>
      <w:r>
        <w:rPr>
          <w:rFonts w:ascii="Times New Roman" w:cs="Times New Roman" w:eastAsia="Times New Roman" w:hAnsi="Times New Roman"/>
          <w:sz w:val="18"/>
          <w:szCs w:val="18"/>
          <w:u w:val="single" w:color="auto"/>
          <w:color w:val="467886"/>
        </w:rPr>
        <w:t>https://investors.sailpoint.com</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audio replay of the conference call will be available on the investor relations website for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SailPoint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SailPoint, we believe enterprise security must start with identity at the foundation. Today’s enterprise runs on a diverse workforce of not just human but also digital identities—and securing them all is critical. Through the lens of identity, SailPoint empowers organizations to seamlessly manage and secure access to applications and data at speed and scale. Our unified, intelligent, and extensible platform delivers identity-first security, helping enterprises defend against dynamic threats while driving productivity and transformation. Trusted by many of the world’s most complex organizations, SailPoint secures the modern enterprise.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financial information presented in accordance with GAAP, we use certain non-GAAP financial measures to clarify and enhance our understanding of past performance, including the following:</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Adjusted income from operations</w:t>
      </w:r>
      <w:r>
        <w:rPr>
          <w:rFonts w:ascii="Times New Roman" w:cs="Times New Roman" w:eastAsia="Times New Roman" w:hAnsi="Times New Roman"/>
          <w:sz w:val="18"/>
          <w:szCs w:val="18"/>
          <w:color w:val="auto"/>
        </w:rPr>
        <w:t>, which we define as income (loss) from operations excluding equity-based compensation expense, payroll taxes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awards that were accelerated upon the closing of our initial public offering (the IPO) and payroll taxes related to RSUs, amortization of acquired intangible assets which includes impairment charges, impairment of intangible assets, acquisition-related expenses (including fair value adjustments to acquisition-contingent consideration), benefit from amortization related to acquired contract acquisition costs, Thoma Bravo monitoring fees (which were annual service fees for consultation and advice related to corporate strategy, budgeting of future corporate investments, acquisition and divestiture strategies, and debt and equity financings pursuant to an advisory services agreement that was terminated upon the closing of the IPO), and restructuring expenses.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margin</w:t>
      </w:r>
      <w:r>
        <w:rPr>
          <w:rFonts w:ascii="Times New Roman" w:cs="Times New Roman" w:eastAsia="Times New Roman" w:hAnsi="Times New Roman"/>
          <w:sz w:val="18"/>
          <w:szCs w:val="18"/>
          <w:color w:val="auto"/>
        </w:rPr>
        <w:t>, which we define as adjusted income from operations divided by total revenue.</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EPS </w:t>
      </w:r>
      <w:r>
        <w:rPr>
          <w:rFonts w:ascii="Times New Roman" w:cs="Times New Roman" w:eastAsia="Times New Roman" w:hAnsi="Times New Roman"/>
          <w:sz w:val="18"/>
          <w:szCs w:val="18"/>
          <w:color w:val="auto"/>
        </w:rPr>
        <w:t>(or non-GAAP net income (loss) available to common stockholders per diluted share), which we define as adjusted net income (loss) divided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diluted weighted average shares outstanding, except that solely for the fiscal year ended January 31, 2026 (and all periods therein), we calculated adjusted EPS based on the number of diluted shares outstanding as of the end of such period rather than the diluted weighted average shares outstanding</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for such period. We believe that using such a denominator provides a more meaningful comparison with subsequent periods due to the IPO closing after the beginning of fiscal year 2026. We calculate adjusted net income (loss) as net income (loss) on a GAAP basis excluding equity-based compensation expense, payroll taxes related to awards that were accelerated upon the closing of the IPO (IPO-accelerated awards) and payroll taxes related to RSUs, amortization of acquired intangible assets which includes impairment charges, impairment of intangible assets, acquisition-related expenses (including fair value adjustments to acquisition-contingent consideration), Thoma Bravo monitoring fees, benefit from amortization related to acquired contract acquisition costs and restructuring expenses, and adjusted for the income tax effects related to those adjustments. We currently apply a fixed projected tax rate of 24.5% when calculating or estimating adjusted net income for the fiscal year ending January 31, 2027 and all periods therein for consistency across interim reporting periods within such fiscal year. This rate may be adjusted during the year if significant events that have a material impact on the rate occur, such as significant changes in our geographic mix of revenue and expenses, tax law changes, and acquisitions.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Adjusted gross profit</w:t>
      </w:r>
      <w:r>
        <w:rPr>
          <w:rFonts w:ascii="Times New Roman" w:cs="Times New Roman" w:eastAsia="Times New Roman" w:hAnsi="Times New Roman"/>
          <w:sz w:val="18"/>
          <w:szCs w:val="18"/>
          <w:color w:val="auto"/>
        </w:rPr>
        <w:t>, which we define as gross profit excluding equity-based compensation expense, payroll taxes related to IPO-accelerated awards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taxes related to RSUs, amortization of acquired intangible assets which includes impairment charges, impairment of intangible assets,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expenses and restructuring expenses</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margin</w:t>
      </w:r>
      <w:r>
        <w:rPr>
          <w:rFonts w:ascii="Times New Roman" w:cs="Times New Roman" w:eastAsia="Times New Roman" w:hAnsi="Times New Roman"/>
          <w:sz w:val="18"/>
          <w:szCs w:val="18"/>
          <w:color w:val="auto"/>
        </w:rPr>
        <w:t>, which we define as adjusted gross profit divided by total revenue.</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Adjusted subscription gross profit</w:t>
      </w:r>
      <w:r>
        <w:rPr>
          <w:rFonts w:ascii="Times New Roman" w:cs="Times New Roman" w:eastAsia="Times New Roman" w:hAnsi="Times New Roman"/>
          <w:sz w:val="18"/>
          <w:szCs w:val="18"/>
          <w:color w:val="auto"/>
        </w:rPr>
        <w:t>, which we define as subscription gross profit excluding equity-based compensation expense, payroll taxes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IPO-accelerated awards and payroll taxes related to RSUs, amortization of acquired intangible assets which includes impairment charges, impairment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acquisition-related expenses and restructuring expenses</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subscription gross profit margin</w:t>
      </w:r>
      <w:r>
        <w:rPr>
          <w:rFonts w:ascii="Times New Roman" w:cs="Times New Roman" w:eastAsia="Times New Roman" w:hAnsi="Times New Roman"/>
          <w:sz w:val="18"/>
          <w:szCs w:val="18"/>
          <w:color w:val="auto"/>
        </w:rPr>
        <w:t>, which we define as adjusted subscription gross profit divided by subscription revenue.</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Free cash flow</w:t>
      </w:r>
      <w:r>
        <w:rPr>
          <w:rFonts w:ascii="Times New Roman" w:cs="Times New Roman" w:eastAsia="Times New Roman" w:hAnsi="Times New Roman"/>
          <w:sz w:val="18"/>
          <w:szCs w:val="18"/>
          <w:color w:val="auto"/>
        </w:rPr>
        <w:t>, which we define as net cash provided by (used in) operating activities, less cash used for purchases of property and equipment,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software development costs. We use free cash flow as a measure of financial progress in our business, as it balances operating results, cash management, and capital efficiency. We believe information regarding free cash flow provides investors and others with an important perspective on the cash available to make strategic acquisitions and investments, to fund ongoing operations, and to fund other capital expenditures. Free cash flow can be volatile and is sensitive to many factors, including changes in working capital and timing of capital expenditures. Working capital at any specific point in time is subject to many variables including the discretionary timing of expense payments and fluctuations in foreign exchange rates.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margin</w:t>
      </w:r>
      <w:r>
        <w:rPr>
          <w:rFonts w:ascii="Times New Roman" w:cs="Times New Roman" w:eastAsia="Times New Roman" w:hAnsi="Times New Roman"/>
          <w:sz w:val="18"/>
          <w:szCs w:val="18"/>
          <w:color w:val="auto"/>
        </w:rPr>
        <w:t>, which we define as free cash flow divided by total revenue.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non-GAAP financial measures exclude items that do not reflect our ongoing, core operating or business performance, such as equity-based compensation, payroll taxes related to IPO-accelerated awards and payroll taxes related to RSUs, amortization of acquired intangible assets, and acquisition-related expenses (including fair value adjustments to acquisition-contingent consideration). We believe these adjustments enable management and investors to compare our underlying business performance from period to period and provide investors with additional means to evaluate cost and expense trends. We also believe these adjustments enhance comparability of our financial performance against those of other technology companies. Accordingly, our management believes the presentation of our non-GAAP financial measures provides useful information to investors regarding our financial condition and results of operations. In addition, SailPoint’s management uses adjusted income (loss) from operations for budgeting and planning purposes, including with respect to its corporate bonus plan.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non-GAAP financial measures are adjusted for the following factors, among others:</w:t>
      </w:r>
    </w:p>
    <w:p>
      <w:pPr>
        <w:sectPr>
          <w:pgSz w:w="11900" w:h="16838" w:orient="portrait"/>
          <w:cols w:equalWidth="0" w:num="1">
            <w:col w:w="11240"/>
          </w:cols>
          <w:pgMar w:left="320" w:top="1417" w:right="339" w:bottom="1440" w:gutter="0" w:footer="0" w:header="0"/>
        </w:sectPr>
      </w:pPr>
    </w:p>
    <w:bookmarkStart w:id="6" w:name="page7"/>
    <w:bookmarkEnd w:id="6"/>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expense. </w:t>
      </w:r>
      <w:r>
        <w:rPr>
          <w:rFonts w:ascii="Times New Roman" w:cs="Times New Roman" w:eastAsia="Times New Roman" w:hAnsi="Times New Roman"/>
          <w:sz w:val="18"/>
          <w:szCs w:val="18"/>
          <w:color w:val="auto"/>
        </w:rPr>
        <w:t>We believe that the exclusion of equity-based compensation expense is appropriate because it eliminates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equity-based compensation costs that are based upon valuation methodologies and assumptions that vary over time, and the amount of the expense can vary significantly due to factors that are unrelated to our core operating performance and that can be outside of our control. Although we exclude equity-based compensation expense from our non-GAAP measures, equity-based compensation has been, and will continue to be, an important part of our compensation strategy and a significant component of our expenses and may increase in future periods.</w:t>
      </w:r>
    </w:p>
    <w:p>
      <w:pPr>
        <w:spacing w:after="0" w:line="2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Payroll taxes related to IPO-accelerated awards and payroll taxes related to RSUs. </w:t>
      </w:r>
      <w:r>
        <w:rPr>
          <w:rFonts w:ascii="Times New Roman" w:cs="Times New Roman" w:eastAsia="Times New Roman" w:hAnsi="Times New Roman"/>
          <w:sz w:val="18"/>
          <w:szCs w:val="18"/>
          <w:color w:val="auto"/>
        </w:rPr>
        <w:t>We believe that the exclusion of payroll taxes related to IPO-accelerated awards is appropriate as the acceleration was a one-time, non-recurring event. We believe that the exclusion of payroll taxes related to RSUs is</w:t>
      </w:r>
    </w:p>
    <w:p>
      <w:pPr>
        <w:jc w:val="both"/>
        <w:spacing w:after="0" w:line="241" w:lineRule="auto"/>
        <w:rPr>
          <w:sz w:val="20"/>
          <w:szCs w:val="20"/>
          <w:color w:val="auto"/>
        </w:rPr>
      </w:pPr>
      <w:r>
        <w:rPr>
          <w:rFonts w:ascii="Times New Roman" w:cs="Times New Roman" w:eastAsia="Times New Roman" w:hAnsi="Times New Roman"/>
          <w:sz w:val="18"/>
          <w:szCs w:val="18"/>
          <w:color w:val="auto"/>
        </w:rPr>
        <w:t>appropriate as they are dependent on SailPoint’s stock price and the vesting of such awards and therefore can vary significantly due to factors that are unrelated to our core operating performance and that can be outside of our control. Because the amount of such payroll taxes is highly variable due to factors outside of our control and is unrelated to our core operating performance, our management does not consider them when evaluating the performance of our business or making operating plans (for example, when considering the impact of equity award grants, we place a greater emphasis on overall stockholder dilution than the accounting charges associated with such grants). Accordingly, we believe this adjustment in arriving at our non-GAAP measures provides investors with a better understanding of the performance of our core business in a manner that is consistent with management’s view of the business. As with equity-based compensation expense, although we exclude payroll taxes related to RSUs from our non-GAAP measures, such payroll taxes are, and will continue to be, a component of our expenses and may increase in future periods. We note that, unlike equity-based compensation expense, payroll taxes are a cash expense.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intangible assets and impairment of intangible assets. </w:t>
      </w:r>
      <w:r>
        <w:rPr>
          <w:rFonts w:ascii="Times New Roman" w:cs="Times New Roman" w:eastAsia="Times New Roman" w:hAnsi="Times New Roman"/>
          <w:sz w:val="18"/>
          <w:szCs w:val="18"/>
          <w:color w:val="auto"/>
        </w:rPr>
        <w:t>We exclude amortization charges for our acquisition-related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impairment of intangible assets for purposes of calculating certain non-GAAP measures to eliminate the impact of these non-cash charges and provide for a more meaningful comparison between operating results from period to period as intangible assets are valued at the time of acquisition and are amortized over the useful life, which can be several years after the acquisition.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Acquisition-related costs. </w:t>
      </w:r>
      <w:r>
        <w:rPr>
          <w:rFonts w:ascii="Times New Roman" w:cs="Times New Roman" w:eastAsia="Times New Roman" w:hAnsi="Times New Roman"/>
          <w:sz w:val="18"/>
          <w:szCs w:val="18"/>
          <w:color w:val="auto"/>
        </w:rPr>
        <w:t>We believe that the exclusion of acquisition-related expenses is appropriate as they represent items that management believes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indicative of our ongoing operating performance. These expenses are primarily composed of legal, accounting, and professional fees incurred that are not capitalizable and that are included within general and administrative expenses. Acquisition-related expenses also include fair value adjustments to acquisition-contingent consideration, which are currently included within sales and marketing expenses.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Amortization related to acquired contract acquisition costs. </w:t>
      </w:r>
      <w:r>
        <w:rPr>
          <w:rFonts w:ascii="Times New Roman" w:cs="Times New Roman" w:eastAsia="Times New Roman" w:hAnsi="Times New Roman"/>
          <w:sz w:val="18"/>
          <w:szCs w:val="18"/>
          <w:color w:val="auto"/>
        </w:rPr>
        <w:t>On August 16, 2022, our predecessor was acquired in an all-cash take-private transaction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Thoma Bravo (the Take-Private Transaction). In accordance with GAAP reporting requirements, we wrote off our contract acquisition costs at the time of the Take-Private Transaction. Therefore, GAAP commissions expenses related to contract acquisition costs after the Take-Private Transaction do not reflect the commissions expense that would have been reported if the contract acquisition costs had not been written off. Accordingly, we believe that presenting the approximate amount of acquisition-related commission expenses (so that the full amount of commission expenses is included) provides a more appropriate representation of commission expenses in a given period and, therefore, provides readers of our financial statements with a more consistent basis for comparison across accounting periods.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SailPoint’s non-GAAP financial measures may not provide information that is directly comparable to that provided by other companies in our industry because they may calculate non-GAAP financial results differently. In addition, there are limitations in using non-GAAP financial measures because they are not prepared in accordance with GAAP and exclude expenses that may have a material impact on our reported financial results. The presentation of non-GAAP financial information is not meant to be considered in isolation or as a substitute for the directly comparable financial measures prepared in accordance with GAAP. SailPoint urges you to review the reconciliations of our non-GAAP financial measures to the comparable GAAP financial measures included below and not to rely on any single financial measure to evaluate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Certain Key Business and Other Metrics</w:t>
      </w:r>
    </w:p>
    <w:p>
      <w:pPr>
        <w:sectPr>
          <w:pgSz w:w="11900" w:h="16838" w:orient="portrait"/>
          <w:cols w:equalWidth="0" w:num="1">
            <w:col w:w="11240"/>
          </w:cols>
          <w:pgMar w:left="320" w:top="1440" w:right="339" w:bottom="1440" w:gutter="0" w:footer="0" w:header="0"/>
        </w:sectPr>
      </w:pPr>
    </w:p>
    <w:bookmarkStart w:id="7" w:name="page8"/>
    <w:bookmarkEnd w:id="7"/>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Annual recurring revenue</w:t>
      </w:r>
      <w:r>
        <w:rPr>
          <w:rFonts w:ascii="Times New Roman" w:cs="Times New Roman" w:eastAsia="Times New Roman" w:hAnsi="Times New Roman"/>
          <w:sz w:val="18"/>
          <w:szCs w:val="18"/>
          <w:color w:val="auto"/>
        </w:rPr>
        <w:t>. We define ARR as the annualized value of SaaS, maintenance, term subscription, and other subscription contracts as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measurement date. To the extent that we are actively negotiating a renewal or new agreement with a customer after the expiration of a contract, we continue to include that contract’s annualized value in ARR until the customer notifies us that it is not renewing its contract. We calculate ARR by dividing the active contract value by the number of days of the contract and then multiplying by 365. ARR should be viewed independently of revenue as ARR is an operating metric and is not intended to be combined with or to replace revenue. ARR is not a forecast of future revenue, which can be impacted by ASC 606 allocations, and ARR does not consider other sources of revenue that are not recurring in nature. ARR does not have a standardized meaning and is not necessarily comparable to similarly titled measures presented by other companies.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SaaS annual recurring revenue</w:t>
      </w:r>
      <w:r>
        <w:rPr>
          <w:rFonts w:ascii="Times New Roman" w:cs="Times New Roman" w:eastAsia="Times New Roman" w:hAnsi="Times New Roman"/>
          <w:sz w:val="18"/>
          <w:szCs w:val="18"/>
          <w:color w:val="auto"/>
        </w:rPr>
        <w:t>. We define SaaS ARR as the annualized value of SaaS contracts as of the measurement date. To the extent that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actively negotiating a renewal or new agreement with a customer after the expiration of a contract, we continue to include that contract’s annualized value in SaaS ARR until the customer notifies us that it is not renewing its contract. We calculate SaaS ARR by dividing the active SaaS contract value by the number of days of the contract and then multiplying by 365. SaaS ARR should be viewed independently of subscription revenue as SaaS ARR is an operating metric and is not intended to be combined with or to replace subscription revenue. SaaS ARR is not a forecast of future subscription revenue, which can be impacted by ASC 606 allocations and renewal rates, and does not consider other sources of revenue that are not recurring in nature. SaaS ARR does not have a standardized meaning and is not necessarily comparable to similarly titled measures presented by other companies.</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Subscription 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majority of our revenue relates to subscription revenue which consists of (i) fees for access to, and related support for, the SaaS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(ii) fees for term subscriptions, (iii) fees for ongoing maintenance and support of perpetual license solutions, and (iv) other subscription services such as cloud managed services, and certain professional services. Term subscriptions include the term licenses and ongoing maintenance and support. Maintenance and support agreements consist of fees for providing software updates on a when and if available basis and for providing technical support for software products for a specified term.</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Subscription revenue, including support for term licenses, is recognized ratably over the term of the applicable agreement. Revenue related to term subscription performance obligations, excluding support for term subscriptions, is recognized upfront at the point in time when the customer has taken control of the software license.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 Regarding Our Corporate Conversion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February 12, 2025, we were a Delaware limited partnership named SailPoint Parent, LP. On February 12, 2025, in connection with our IPO, SailPoint Parent, LP converted into a Delaware corporation pursuant to a statutory conversion (the Corporate Conversion) and changed its name to SailPoint, Inc. References to “SailPoint,” “we,” and “our” (i) for periods prior to the Corporate Conversion are to SailPoint Parent, LP and, where appropriate, its consolidated subsidiaries and (ii) for periods after the Corporate Conversion are to SailPoint, Inc. and, where appropriate, its consolidated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and statements made during the above referenced conference call may contain “forward-looking statements” within the meaning of the Private Securities Litigation Reform Act of 1995, including statements regarding our strategy, future operations, financial position, prospects, plans and objectives of management, growth rate and our expectations regarding future revenue, operating income or loss, or earnings or loss per share. In some cases, you can identify forward-looking statements because they contain words such as “may,” “will,” “will be,” “will likely result,” “should,” “expects,” “plans,” “anticipates,” “could,” “would,” “foresees,” “intends,” “target,” “projects,” “contemplates,” “believes,” “estimates,” “predicts,” “potential,” “outlook,” or “continue” or the negative of these words or other similar terms or expressions. These forward-looking statements are not guarantees of future performance, but are based on management’s current expectations, assumptions, and beliefs concerning future developments and their potential effect on us, which are inherently subject to uncertainties, risks, and changes in circumstances that are difficult to predict. Our expectations expressed or implied in these forward-looking statements may not turn out to be correct. Our results could be materially different from our expectations because of various risks.</w:t>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Important factors, some of which are beyond our control, that could cause actual results to differ materially from our historical results or those expressed or implied by these forward-looking statements include the following: our ability to sustain historical growth rates; our ability to attract and retain customers; our ability to deepen our relationships with existing customers; the growth in the market for identity security solutions; our ability to maintain successful relationships with each of our partners; the length and unpredictable nature of our sales cycle; our ability to compete successfully against current and future competitors; the increasing complexity of our operations; our ability to maintain and enhance our brand or reputation as an industry leader and innovator; unfavorable conditions in our industry or the global economy; our estimated market opportunity and forecasts of our market and market growth may prove to be inaccurate; our ability to hire, train, and motivate our personnel; our ability to maintain our corporate culture; our ability to successfully introduce, use, and integrate artificial intelligence (AI) with our solutions; breaches in our security, cyber attacks, or other cyber risks; interruptions, outages, or other disruptions affecting the delivery of our SaaS solution or any of the third-party cloud-based systems that we use in our operations; our ability to adapt and respond to rapidly changing technology, industry standards, regulations, or customer needs, requirements, or preferences; real or perceived errors, failures, or disruptions in our platform or solutions; the ability of our platform and solutions to effectively interoperate with our customers’ existing or future IT infrastructures; and our ability to comply with our privacy policy or related legal or regulatory requirements. More information on these risks and other potential factors that could affect our financial results is included in our filings with the Securities and Exchange Commission, including in the “Risk Factors” and “Management’s Discussion and Analysis of Financial Condition and Results of Operations” sections of our Annual Report on Form 10-K for the year ended January 31, 2026 and subsequent Quarterly Reports on Form 10-Q and other filings. Moreover, we operate in a very competitive and rapidly changing environment. New risks and uncertainties emerge from time to time, and it is not possible for us to predict all risks and uncertainties that could have an impact on the forward-looking statements contained in this press release or made during the above referenced conference call.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in this press release or during the above referenced conference call speaks only as of the date as of which such statement is made, and, except as required by law, we undertake no obligation to update or revise publicly any forward-looking statements, whether because of new information, future events, or otherwise.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Schmitz, SVP IR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67886"/>
        </w:rPr>
        <w:t>ir@sailpoint.com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Shannon Paulk, Sr. Manager, Corporate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67886"/>
        </w:rPr>
        <w:t>shannon.paulk@sailpoint.com</w:t>
      </w:r>
    </w:p>
    <w:p>
      <w:pPr>
        <w:sectPr>
          <w:pgSz w:w="11900" w:h="16838" w:orient="portrait"/>
          <w:cols w:equalWidth="0" w:num="1">
            <w:col w:w="11240"/>
          </w:cols>
          <w:pgMar w:left="320" w:top="1440" w:right="339" w:bottom="1440" w:gutter="0" w:footer="0" w:header="0"/>
        </w:sectPr>
      </w:pPr>
    </w:p>
    <w:bookmarkStart w:id="9" w:name="page10"/>
    <w:bookmarkEnd w:id="9"/>
    <w:p>
      <w:pPr>
        <w:ind w:left="4900"/>
        <w:spacing w:after="0"/>
        <w:rPr>
          <w:sz w:val="20"/>
          <w:szCs w:val="20"/>
          <w:color w:val="auto"/>
        </w:rPr>
      </w:pPr>
      <w:r>
        <w:rPr>
          <w:rFonts w:ascii="Times New Roman" w:cs="Times New Roman" w:eastAsia="Times New Roman" w:hAnsi="Times New Roman"/>
          <w:sz w:val="18"/>
          <w:szCs w:val="18"/>
          <w:b w:val="1"/>
          <w:bCs w:val="1"/>
          <w:color w:val="auto"/>
        </w:rPr>
        <w:t>SAILPOINT,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64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0" w:type="dxa"/>
            <w:vAlign w:val="bottom"/>
          </w:tcPr>
          <w:p>
            <w:pPr>
              <w:spacing w:after="0"/>
              <w:rPr>
                <w:sz w:val="1"/>
                <w:szCs w:val="1"/>
                <w:color w:val="auto"/>
              </w:rPr>
            </w:pPr>
          </w:p>
        </w:tc>
      </w:tr>
      <w:tr>
        <w:trPr>
          <w:trHeight w:val="2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76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265,821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215,323</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280,142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75,491</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27,322</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102,813</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154,276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164,530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260,938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312,620</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(22,389)</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(187,312)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yield</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loss per share attributable to common stockholders, basic and diluted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Weighted average common shares outstanding, basic and diluted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564,548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500,029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________</w:t>
      </w:r>
    </w:p>
    <w:p>
      <w:pPr>
        <w:spacing w:after="0" w:line="26" w:lineRule="exact"/>
        <w:rPr>
          <w:sz w:val="20"/>
          <w:szCs w:val="20"/>
          <w:color w:val="auto"/>
        </w:rPr>
      </w:pPr>
    </w:p>
    <w:p>
      <w:pPr>
        <w:ind w:right="20" w:firstLine="8"/>
        <w:spacing w:after="0" w:line="270" w:lineRule="auto"/>
        <w:tabs>
          <w:tab w:leader="none" w:pos="20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period during February 2025 prior to the Corporate Conversion have been retrospectively adjusted to give effect to the Corporate Conversion. These amounts do not consider the shares of common stock sold in the Company's IPO or the Class A Units considered preferred shares that were converted into common stock due to the Corporate Conversion.</w:t>
      </w:r>
    </w:p>
    <w:p>
      <w:pPr>
        <w:sectPr>
          <w:pgSz w:w="11900" w:h="16838" w:orient="portrait"/>
          <w:cols w:equalWidth="0" w:num="1">
            <w:col w:w="11240"/>
          </w:cols>
          <w:pgMar w:left="320" w:top="142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SAILPOINT,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16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38"/>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10"/>
        </w:trPr>
        <w:tc>
          <w:tcPr>
            <w:tcW w:w="850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358,144</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335,001</w:t>
            </w:r>
          </w:p>
        </w:tc>
        <w:tc>
          <w:tcPr>
            <w:tcW w:w="0" w:type="dxa"/>
            <w:vAlign w:val="bottom"/>
          </w:tcPr>
          <w:p>
            <w:pPr>
              <w:spacing w:after="0"/>
              <w:rPr>
                <w:sz w:val="1"/>
                <w:szCs w:val="1"/>
                <w:color w:val="auto"/>
              </w:rPr>
            </w:pPr>
          </w:p>
        </w:tc>
      </w:tr>
      <w:tr>
        <w:trPr>
          <w:trHeight w:val="229"/>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47,697</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assets, net of allowance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70,565</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39,288</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850,695</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acquisition costs, non-current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117,833</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non-current, net of allowance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5,151,668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5,151,668</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1,377,317</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7,525,891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7,597,561</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0" w:type="dxa"/>
            <w:vAlign w:val="bottom"/>
          </w:tcPr>
          <w:p>
            <w:pPr>
              <w:spacing w:after="0"/>
              <w:rPr>
                <w:sz w:val="1"/>
                <w:szCs w:val="1"/>
                <w:color w:val="auto"/>
              </w:rPr>
            </w:pPr>
          </w:p>
        </w:tc>
      </w:tr>
      <w:tr>
        <w:trPr>
          <w:trHeight w:val="230"/>
        </w:trPr>
        <w:tc>
          <w:tcPr>
            <w:tcW w:w="8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121,464</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516,007</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643,295</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non-current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56,112</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39,191</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751,330</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Preferred stock, par value of $0.0001 per share; 50,000,000 shares authorized; no shares issued or outstanding as of</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30, 2026 and January 31, 2026</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8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par value of $0.0001 per share; 1,750,000,000 shares authorized; 567,208,393 and 563,781,636</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and outstanding as of April 30, 2026 and January 31, 2026, respectively</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7,167,574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7,096,974</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(250,799)</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6,842,157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6,846,231</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7,525,891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7,597,561</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27" w:right="339" w:bottom="1440" w:gutter="0" w:footer="0" w:header="0"/>
        </w:sectPr>
      </w:pPr>
    </w:p>
    <w:bookmarkStart w:id="11" w:name="page12"/>
    <w:bookmarkEnd w:id="11"/>
    <w:p>
      <w:pPr>
        <w:ind w:left="4900"/>
        <w:spacing w:after="0"/>
        <w:rPr>
          <w:sz w:val="20"/>
          <w:szCs w:val="20"/>
          <w:color w:val="auto"/>
        </w:rPr>
      </w:pPr>
      <w:r>
        <w:rPr>
          <w:rFonts w:ascii="Times New Roman" w:cs="Times New Roman" w:eastAsia="Times New Roman" w:hAnsi="Times New Roman"/>
          <w:sz w:val="18"/>
          <w:szCs w:val="18"/>
          <w:b w:val="1"/>
          <w:bCs w:val="1"/>
          <w:color w:val="auto"/>
        </w:rPr>
        <w:t>SAILPOINT,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Three Months Ended April 30,</w:t>
            </w:r>
          </w:p>
        </w:tc>
        <w:tc>
          <w:tcPr>
            <w:tcW w:w="0" w:type="dxa"/>
            <w:vAlign w:val="bottom"/>
          </w:tcPr>
          <w:p>
            <w:pPr>
              <w:spacing w:after="0"/>
              <w:rPr>
                <w:sz w:val="1"/>
                <w:szCs w:val="1"/>
                <w:color w:val="auto"/>
              </w:rPr>
            </w:pPr>
          </w:p>
        </w:tc>
      </w:tr>
      <w:tr>
        <w:trPr>
          <w:trHeight w:val="200"/>
        </w:trPr>
        <w:tc>
          <w:tcPr>
            <w:tcW w:w="8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83"/>
        </w:trPr>
        <w:tc>
          <w:tcPr>
            <w:tcW w:w="8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(187,312)</w:t>
            </w:r>
          </w:p>
        </w:tc>
        <w:tc>
          <w:tcPr>
            <w:tcW w:w="0" w:type="dxa"/>
            <w:vAlign w:val="bottom"/>
          </w:tcPr>
          <w:p>
            <w:pPr>
              <w:spacing w:after="0"/>
              <w:rPr>
                <w:sz w:val="1"/>
                <w:szCs w:val="1"/>
                <w:color w:val="auto"/>
              </w:rPr>
            </w:pPr>
          </w:p>
        </w:tc>
      </w:tr>
      <w:tr>
        <w:trPr>
          <w:trHeight w:val="200"/>
        </w:trPr>
        <w:tc>
          <w:tcPr>
            <w:tcW w:w="8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53,105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52,065</w:t>
            </w:r>
          </w:p>
        </w:tc>
        <w:tc>
          <w:tcPr>
            <w:tcW w:w="0" w:type="dxa"/>
            <w:vAlign w:val="bottom"/>
          </w:tcPr>
          <w:p>
            <w:pPr>
              <w:spacing w:after="0"/>
              <w:rPr>
                <w:sz w:val="1"/>
                <w:szCs w:val="1"/>
                <w:color w:val="auto"/>
              </w:rPr>
            </w:pPr>
          </w:p>
        </w:tc>
      </w:tr>
      <w:tr>
        <w:trPr>
          <w:trHeight w:val="200"/>
        </w:trPr>
        <w:tc>
          <w:tcPr>
            <w:tcW w:w="8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and write-off of debt issuance costs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15,641</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contract acquisition costs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8,167</w:t>
            </w:r>
          </w:p>
        </w:tc>
        <w:tc>
          <w:tcPr>
            <w:tcW w:w="0" w:type="dxa"/>
            <w:vAlign w:val="bottom"/>
          </w:tcPr>
          <w:p>
            <w:pPr>
              <w:spacing w:after="0"/>
              <w:rPr>
                <w:sz w:val="1"/>
                <w:szCs w:val="1"/>
                <w:color w:val="auto"/>
              </w:rPr>
            </w:pPr>
          </w:p>
        </w:tc>
      </w:tr>
      <w:tr>
        <w:trPr>
          <w:trHeight w:val="200"/>
        </w:trPr>
        <w:tc>
          <w:tcPr>
            <w:tcW w:w="8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3,562</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Equity-based compensation expense, net of amounts capitalized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105,712</w:t>
            </w:r>
          </w:p>
        </w:tc>
        <w:tc>
          <w:tcPr>
            <w:tcW w:w="0" w:type="dxa"/>
            <w:vAlign w:val="bottom"/>
          </w:tcPr>
          <w:p>
            <w:pPr>
              <w:spacing w:after="0"/>
              <w:rPr>
                <w:sz w:val="1"/>
                <w:szCs w:val="1"/>
                <w:color w:val="auto"/>
              </w:rPr>
            </w:pPr>
          </w:p>
        </w:tc>
      </w:tr>
      <w:tr>
        <w:trPr>
          <w:trHeight w:val="200"/>
        </w:trPr>
        <w:tc>
          <w:tcPr>
            <w:tcW w:w="8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taxes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(25,325)</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8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changes in operating assets and liabilities, net of acquisitions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receivable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60,036</w:t>
            </w:r>
          </w:p>
        </w:tc>
        <w:tc>
          <w:tcPr>
            <w:tcW w:w="0" w:type="dxa"/>
            <w:vAlign w:val="bottom"/>
          </w:tcPr>
          <w:p>
            <w:pPr>
              <w:spacing w:after="0"/>
              <w:rPr>
                <w:sz w:val="1"/>
                <w:szCs w:val="1"/>
                <w:color w:val="auto"/>
              </w:rPr>
            </w:pPr>
          </w:p>
        </w:tc>
      </w:tr>
      <w:tr>
        <w:trPr>
          <w:trHeight w:val="200"/>
        </w:trPr>
        <w:tc>
          <w:tcPr>
            <w:tcW w:w="8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Contract acquisition costs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(9,466)</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Contract assets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0" w:type="dxa"/>
            <w:vAlign w:val="bottom"/>
          </w:tcPr>
          <w:p>
            <w:pPr>
              <w:spacing w:after="0"/>
              <w:rPr>
                <w:sz w:val="1"/>
                <w:szCs w:val="1"/>
                <w:color w:val="auto"/>
              </w:rPr>
            </w:pPr>
          </w:p>
        </w:tc>
      </w:tr>
      <w:tr>
        <w:trPr>
          <w:trHeight w:val="200"/>
        </w:trPr>
        <w:tc>
          <w:tcPr>
            <w:tcW w:w="8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Prepayments and other current assets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(14,990)</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non-current assets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200"/>
        </w:trPr>
        <w:tc>
          <w:tcPr>
            <w:tcW w:w="8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leases, net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200"/>
        </w:trPr>
        <w:tc>
          <w:tcPr>
            <w:tcW w:w="8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(90,626)</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revenue</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(19,892)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(11,124)</w:t>
            </w:r>
          </w:p>
        </w:tc>
        <w:tc>
          <w:tcPr>
            <w:tcW w:w="0" w:type="dxa"/>
            <w:vAlign w:val="bottom"/>
          </w:tcPr>
          <w:p>
            <w:pPr>
              <w:spacing w:after="0"/>
              <w:rPr>
                <w:sz w:val="1"/>
                <w:szCs w:val="1"/>
                <w:color w:val="auto"/>
              </w:rPr>
            </w:pPr>
          </w:p>
        </w:tc>
      </w:tr>
      <w:tr>
        <w:trPr>
          <w:trHeight w:val="194"/>
        </w:trPr>
        <w:tc>
          <w:tcPr>
            <w:tcW w:w="8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38,241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(96,807)</w:t>
            </w:r>
          </w:p>
        </w:tc>
        <w:tc>
          <w:tcPr>
            <w:tcW w:w="0" w:type="dxa"/>
            <w:vAlign w:val="bottom"/>
          </w:tcPr>
          <w:p>
            <w:pPr>
              <w:spacing w:after="0"/>
              <w:rPr>
                <w:sz w:val="1"/>
                <w:szCs w:val="1"/>
                <w:color w:val="auto"/>
              </w:rPr>
            </w:pPr>
          </w:p>
        </w:tc>
      </w:tr>
      <w:tr>
        <w:trPr>
          <w:trHeight w:val="18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(2,191)</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Capitalized software development costs</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(1,706)</w:t>
            </w:r>
          </w:p>
        </w:tc>
        <w:tc>
          <w:tcPr>
            <w:tcW w:w="0" w:type="dxa"/>
            <w:vAlign w:val="bottom"/>
          </w:tcPr>
          <w:p>
            <w:pPr>
              <w:spacing w:after="0"/>
              <w:rPr>
                <w:sz w:val="1"/>
                <w:szCs w:val="1"/>
                <w:color w:val="auto"/>
              </w:rPr>
            </w:pPr>
          </w:p>
        </w:tc>
      </w:tr>
      <w:tr>
        <w:trPr>
          <w:trHeight w:val="194"/>
        </w:trPr>
        <w:tc>
          <w:tcPr>
            <w:tcW w:w="8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(3,897)</w:t>
            </w:r>
          </w:p>
        </w:tc>
        <w:tc>
          <w:tcPr>
            <w:tcW w:w="0" w:type="dxa"/>
            <w:vAlign w:val="bottom"/>
          </w:tcPr>
          <w:p>
            <w:pPr>
              <w:spacing w:after="0"/>
              <w:rPr>
                <w:sz w:val="1"/>
                <w:szCs w:val="1"/>
                <w:color w:val="auto"/>
              </w:rPr>
            </w:pPr>
          </w:p>
        </w:tc>
      </w:tr>
      <w:tr>
        <w:trPr>
          <w:trHeight w:val="18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IPO, net of underwriting discounts and commissions</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1,259,681</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Repayment of Term Loans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(1,040,000)</w:t>
            </w:r>
          </w:p>
        </w:tc>
        <w:tc>
          <w:tcPr>
            <w:tcW w:w="0" w:type="dxa"/>
            <w:vAlign w:val="bottom"/>
          </w:tcPr>
          <w:p>
            <w:pPr>
              <w:spacing w:after="0"/>
              <w:rPr>
                <w:sz w:val="1"/>
                <w:szCs w:val="1"/>
                <w:color w:val="auto"/>
              </w:rPr>
            </w:pPr>
          </w:p>
        </w:tc>
      </w:tr>
      <w:tr>
        <w:trPr>
          <w:trHeight w:val="200"/>
        </w:trPr>
        <w:tc>
          <w:tcPr>
            <w:tcW w:w="8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Payments of deferred offering costs, net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(8,357)</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Payments related to holdback and contingent consideration</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0" w:type="dxa"/>
            <w:vAlign w:val="bottom"/>
          </w:tcPr>
          <w:p>
            <w:pPr>
              <w:spacing w:after="0"/>
              <w:rPr>
                <w:sz w:val="1"/>
                <w:szCs w:val="1"/>
                <w:color w:val="auto"/>
              </w:rPr>
            </w:pPr>
          </w:p>
        </w:tc>
      </w:tr>
      <w:tr>
        <w:trPr>
          <w:trHeight w:val="194"/>
        </w:trPr>
        <w:tc>
          <w:tcPr>
            <w:tcW w:w="8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210,649</w:t>
            </w:r>
          </w:p>
        </w:tc>
        <w:tc>
          <w:tcPr>
            <w:tcW w:w="0" w:type="dxa"/>
            <w:vAlign w:val="bottom"/>
          </w:tcPr>
          <w:p>
            <w:pPr>
              <w:spacing w:after="0"/>
              <w:rPr>
                <w:sz w:val="1"/>
                <w:szCs w:val="1"/>
                <w:color w:val="auto"/>
              </w:rPr>
            </w:pPr>
          </w:p>
        </w:tc>
      </w:tr>
      <w:tr>
        <w:trPr>
          <w:trHeight w:val="19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109,945</w:t>
            </w:r>
          </w:p>
        </w:tc>
        <w:tc>
          <w:tcPr>
            <w:tcW w:w="0" w:type="dxa"/>
            <w:vAlign w:val="bottom"/>
          </w:tcPr>
          <w:p>
            <w:pPr>
              <w:spacing w:after="0"/>
              <w:rPr>
                <w:sz w:val="1"/>
                <w:szCs w:val="1"/>
                <w:color w:val="auto"/>
              </w:rPr>
            </w:pPr>
          </w:p>
        </w:tc>
      </w:tr>
      <w:tr>
        <w:trPr>
          <w:trHeight w:val="200"/>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361,386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124,390</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393,906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234,335</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Reconciliation of cash, cash equivalents and restricted cash from the condensed consolidated balance sheets to the condensed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390,806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228,117</w:t>
            </w:r>
          </w:p>
        </w:tc>
        <w:tc>
          <w:tcPr>
            <w:tcW w:w="0" w:type="dxa"/>
            <w:vAlign w:val="bottom"/>
          </w:tcPr>
          <w:p>
            <w:pPr>
              <w:spacing w:after="0"/>
              <w:rPr>
                <w:sz w:val="1"/>
                <w:szCs w:val="1"/>
                <w:color w:val="auto"/>
              </w:rPr>
            </w:pPr>
          </w:p>
        </w:tc>
      </w:tr>
      <w:tr>
        <w:trPr>
          <w:trHeight w:val="200"/>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Restricted cash within prepayments and other current assets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6,218</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cash, cash equivalents, and restricted cash in the consolidated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393,906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234,335</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71" w:right="339" w:bottom="1440" w:gutter="0" w:footer="0" w:header="0"/>
        </w:sectPr>
      </w:pPr>
    </w:p>
    <w:bookmarkStart w:id="12" w:name="page13"/>
    <w:bookmarkEnd w:id="12"/>
    <w:p>
      <w:pPr>
        <w:ind w:left="4900"/>
        <w:spacing w:after="0"/>
        <w:rPr>
          <w:sz w:val="20"/>
          <w:szCs w:val="20"/>
          <w:color w:val="auto"/>
        </w:rPr>
      </w:pPr>
      <w:r>
        <w:rPr>
          <w:rFonts w:ascii="Times New Roman" w:cs="Times New Roman" w:eastAsia="Times New Roman" w:hAnsi="Times New Roman"/>
          <w:sz w:val="18"/>
          <w:szCs w:val="18"/>
          <w:b w:val="1"/>
          <w:bCs w:val="1"/>
          <w:color w:val="auto"/>
        </w:rPr>
        <w:t>SAILPOINT, INC.</w:t>
      </w:r>
    </w:p>
    <w:p>
      <w:pPr>
        <w:spacing w:after="0" w:line="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percentages)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auto"/>
            </w:tcBorders>
          </w:tcPr>
          <w:p>
            <w:pPr>
              <w:spacing w:after="0"/>
              <w:rPr>
                <w:sz w:val="19"/>
                <w:szCs w:val="19"/>
                <w:color w:val="auto"/>
              </w:rPr>
            </w:pPr>
          </w:p>
        </w:tc>
      </w:tr>
      <w:tr>
        <w:trPr>
          <w:trHeight w:val="237"/>
        </w:trPr>
        <w:tc>
          <w:tcPr>
            <w:tcW w:w="6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SaaS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Maintenance and support</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37,389</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subscriptions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subscription services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subscription</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215,323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17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8"/>
        </w:trPr>
        <w:tc>
          <w:tcPr>
            <w:tcW w:w="6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20" w:top="779" w:right="339" w:bottom="1440" w:gutter="0" w:footer="0" w:header="0"/>
        </w:sectPr>
      </w:pPr>
    </w:p>
    <w:bookmarkStart w:id="13" w:name="page14"/>
    <w:bookmarkEnd w:id="13"/>
    <w:p>
      <w:pPr>
        <w:spacing w:after="0" w:line="20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SAILPOINT,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percentages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7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gross profit</w:t>
            </w:r>
          </w:p>
        </w:tc>
        <w:tc>
          <w:tcPr>
            <w:tcW w:w="4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181,112</w:t>
            </w:r>
          </w:p>
        </w:tc>
        <w:tc>
          <w:tcPr>
            <w:tcW w:w="740" w:type="dxa"/>
            <w:vAlign w:val="bottom"/>
            <w:gridSpan w:val="5"/>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127,655</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gross profit margin</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55.4 %</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21,592</w:t>
            </w: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taxes for IPO-accelerated awards and RSUs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634</w:t>
            </w: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26,831</w:t>
            </w:r>
          </w:p>
        </w:tc>
        <w:tc>
          <w:tcPr>
            <w:tcW w:w="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26,060</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175,941</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 margin</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76.3 %</w:t>
            </w:r>
          </w:p>
        </w:tc>
      </w:tr>
      <w:tr>
        <w:trPr>
          <w:trHeight w:val="594"/>
        </w:trPr>
        <w:tc>
          <w:tcPr>
            <w:tcW w:w="7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08"/>
        </w:trPr>
        <w:tc>
          <w:tcPr>
            <w:tcW w:w="7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2"/>
        </w:trPr>
        <w:tc>
          <w:tcPr>
            <w:tcW w:w="7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subscription gross profit</w:t>
            </w:r>
          </w:p>
        </w:tc>
        <w:tc>
          <w:tcPr>
            <w:tcW w:w="4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185,601</w:t>
            </w:r>
          </w:p>
        </w:tc>
        <w:tc>
          <w:tcPr>
            <w:tcW w:w="740" w:type="dxa"/>
            <w:vAlign w:val="bottom"/>
            <w:gridSpan w:val="5"/>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139,832</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subscription gross profit margin</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64.9 %</w:t>
            </w: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11,264</w:t>
            </w: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taxes for IPO-accelerated awards and RSUs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26,831</w:t>
            </w:r>
          </w:p>
        </w:tc>
        <w:tc>
          <w:tcPr>
            <w:tcW w:w="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26,058</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subscription gross profit</w:t>
            </w:r>
          </w:p>
        </w:tc>
        <w:tc>
          <w:tcPr>
            <w:tcW w:w="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217,179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177,486</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subscription gross profit margin</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82.4 %</w:t>
            </w:r>
          </w:p>
        </w:tc>
      </w:tr>
      <w:tr>
        <w:trPr>
          <w:trHeight w:val="580"/>
        </w:trPr>
        <w:tc>
          <w:tcPr>
            <w:tcW w:w="7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08"/>
        </w:trPr>
        <w:tc>
          <w:tcPr>
            <w:tcW w:w="7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2"/>
        </w:trPr>
        <w:tc>
          <w:tcPr>
            <w:tcW w:w="7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loss from operations</w:t>
            </w:r>
          </w:p>
        </w:tc>
        <w:tc>
          <w:tcPr>
            <w:tcW w:w="4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(79,826)</w:t>
            </w:r>
          </w:p>
        </w:tc>
        <w:tc>
          <w:tcPr>
            <w:tcW w:w="740" w:type="dxa"/>
            <w:vAlign w:val="bottom"/>
            <w:gridSpan w:val="5"/>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(184,965)</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loss from operations margin</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 %</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160,459</w:t>
            </w: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taxes for IPO-accelerated awards and RSUs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3,399</w:t>
            </w: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49,912</w:t>
            </w: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acquired contract acquisition costs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(5,764)</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expenses and Thoma Bravo monitoring fees</w:t>
            </w: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4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37,843</w:t>
            </w:r>
          </w:p>
        </w:tc>
        <w:tc>
          <w:tcPr>
            <w:tcW w:w="1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23,621</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margin</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1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7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 expense</w:t>
            </w:r>
          </w:p>
        </w:tc>
        <w:tc>
          <w:tcPr>
            <w:tcW w:w="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61,686</w:t>
            </w:r>
          </w:p>
        </w:tc>
        <w:tc>
          <w:tcPr>
            <w:tcW w:w="5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67,270</w:t>
            </w:r>
          </w:p>
        </w:tc>
      </w:tr>
      <w:tr>
        <w:trPr>
          <w:trHeight w:val="229"/>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(27,839)</w:t>
            </w:r>
          </w:p>
        </w:tc>
      </w:tr>
      <w:tr>
        <w:trPr>
          <w:trHeight w:val="23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taxes for IPO-accelerated awards and RSUs</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9"/>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research and development expense</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38,650</w:t>
            </w:r>
          </w:p>
        </w:tc>
      </w:tr>
      <w:tr>
        <w:trPr>
          <w:trHeight w:val="594"/>
        </w:trPr>
        <w:tc>
          <w:tcPr>
            <w:tcW w:w="7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08"/>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2"/>
        </w:trPr>
        <w:tc>
          <w:tcPr>
            <w:tcW w:w="7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sales and marketing expense</w:t>
            </w:r>
          </w:p>
        </w:tc>
        <w:tc>
          <w:tcPr>
            <w:tcW w:w="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154,276</w:t>
            </w:r>
          </w:p>
        </w:tc>
        <w:tc>
          <w:tcPr>
            <w:tcW w:w="5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164,530</w:t>
            </w:r>
          </w:p>
        </w:tc>
      </w:tr>
      <w:tr>
        <w:trPr>
          <w:trHeight w:val="23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(53,503)</w:t>
            </w:r>
          </w:p>
        </w:tc>
      </w:tr>
      <w:tr>
        <w:trPr>
          <w:trHeight w:val="22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taxes for IPO-accelerated awards and RSUs</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r>
      <w:tr>
        <w:trPr>
          <w:trHeight w:val="229"/>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(23,757)</w:t>
            </w:r>
          </w:p>
        </w:tc>
      </w:tr>
      <w:tr>
        <w:trPr>
          <w:trHeight w:val="23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related to acquired contract acquisition costs</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sales and marketing expense</w:t>
            </w:r>
          </w:p>
        </w:tc>
        <w:tc>
          <w:tcPr>
            <w:tcW w:w="2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91,350</w:t>
            </w:r>
          </w:p>
        </w:tc>
      </w:tr>
      <w:tr>
        <w:trPr>
          <w:trHeight w:val="576"/>
        </w:trPr>
        <w:tc>
          <w:tcPr>
            <w:tcW w:w="7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08"/>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2"/>
        </w:trPr>
        <w:tc>
          <w:tcPr>
            <w:tcW w:w="7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general and administrative expense</w:t>
            </w:r>
          </w:p>
        </w:tc>
        <w:tc>
          <w:tcPr>
            <w:tcW w:w="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44,976</w:t>
            </w:r>
          </w:p>
        </w:tc>
        <w:tc>
          <w:tcPr>
            <w:tcW w:w="5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80,820</w:t>
            </w:r>
          </w:p>
        </w:tc>
      </w:tr>
      <w:tr>
        <w:trPr>
          <w:trHeight w:val="23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(57,525)</w:t>
            </w:r>
          </w:p>
        </w:tc>
      </w:tr>
      <w:tr>
        <w:trPr>
          <w:trHeight w:val="23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taxes for IPO-accelerated awards and RSUs</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Acquisition-related expenses and Thoma Bravo monitoring fees</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general and administrative expense</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22,321</w:t>
            </w:r>
          </w:p>
        </w:tc>
      </w:tr>
      <w:tr>
        <w:trPr>
          <w:trHeight w:val="594"/>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10"/>
        </w:trPr>
        <w:tc>
          <w:tcPr>
            <w:tcW w:w="7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1"/>
              <w:spacing w:after="0" w:line="210" w:lineRule="exact"/>
              <w:rPr>
                <w:sz w:val="20"/>
                <w:szCs w:val="20"/>
                <w:color w:val="auto"/>
              </w:rPr>
            </w:pPr>
            <w:r>
              <w:rPr>
                <w:rFonts w:ascii="Times New Roman" w:cs="Times New Roman" w:eastAsia="Times New Roman" w:hAnsi="Times New Roman"/>
                <w:sz w:val="16"/>
                <w:szCs w:val="16"/>
                <w:b w:val="1"/>
                <w:bCs w:val="1"/>
                <w:color w:val="auto"/>
              </w:rPr>
              <w:t>2025</w:t>
            </w:r>
            <w:r>
              <w:rPr>
                <w:rFonts w:ascii="Times New Roman" w:cs="Times New Roman" w:eastAsia="Times New Roman" w:hAnsi="Times New Roman"/>
                <w:sz w:val="21"/>
                <w:szCs w:val="21"/>
                <w:b w:val="1"/>
                <w:bCs w:val="1"/>
                <w:color w:val="auto"/>
                <w:vertAlign w:val="superscript"/>
              </w:rPr>
              <w:t>(1)</w:t>
            </w:r>
          </w:p>
        </w:tc>
      </w:tr>
      <w:tr>
        <w:trPr>
          <w:trHeight w:val="250"/>
        </w:trPr>
        <w:tc>
          <w:tcPr>
            <w:tcW w:w="7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cash provided by (used in)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38,241</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(96,807)</w:t>
            </w:r>
          </w:p>
        </w:tc>
      </w:tr>
      <w:tr>
        <w:trPr>
          <w:trHeight w:val="229"/>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Purchase of property and equipment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(2,191)</w:t>
            </w:r>
          </w:p>
        </w:tc>
      </w:tr>
      <w:tr>
        <w:trPr>
          <w:trHeight w:val="23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(4,752)</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(1,706)</w:t>
            </w: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32,520</w:t>
            </w:r>
          </w:p>
        </w:tc>
        <w:tc>
          <w:tcPr>
            <w:tcW w:w="8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(100,704)</w:t>
            </w: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cash provided by (used in) operating activities margin</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margin</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 %</w:t>
            </w:r>
          </w:p>
        </w:tc>
      </w:tr>
    </w:tbl>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22" w:lineRule="exact"/>
        <w:rPr>
          <w:sz w:val="20"/>
          <w:szCs w:val="20"/>
          <w:color w:val="auto"/>
        </w:rPr>
      </w:pPr>
    </w:p>
    <w:p>
      <w:pPr>
        <w:ind w:firstLine="8"/>
        <w:spacing w:after="0" w:line="263" w:lineRule="auto"/>
        <w:tabs>
          <w:tab w:leader="none" w:pos="20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for the three months ended April 30, 2025 includes $78 million of cash paid to settle equity related awards, cash awards and their associated payroll taxes upon the closing of our IPO, $37 million in cash paid for interest expense, and $9 million of cash paid for fees under our advisory services agreement with Thoma Bravo, which was terminated upon the closing of our IPO.</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820" w:type="dxa"/>
            <w:vAlign w:val="bottom"/>
            <w:tcBorders>
              <w:bottom w:val="single" w:sz="8" w:color="auto"/>
            </w:tcBorders>
          </w:tcPr>
          <w:p>
            <w:pPr>
              <w:spacing w:after="0"/>
              <w:rPr>
                <w:sz w:val="20"/>
                <w:szCs w:val="20"/>
                <w:color w:val="auto"/>
              </w:rPr>
            </w:pPr>
          </w:p>
        </w:tc>
      </w:tr>
      <w:tr>
        <w:trPr>
          <w:trHeight w:val="223"/>
        </w:trPr>
        <w:tc>
          <w:tcPr>
            <w:tcW w:w="6820" w:type="dxa"/>
            <w:vAlign w:val="bottom"/>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r>
      <w:tr>
        <w:trPr>
          <w:trHeight w:val="250"/>
        </w:trPr>
        <w:tc>
          <w:tcPr>
            <w:tcW w:w="6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loss</w:t>
            </w: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(187,312)</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160,459</w:t>
            </w: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taxes for IPO-accelerated awards and RSUs</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49,912</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acquired contract acquisition costs</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expenses and Thoma Bravo monitoring fees</w:t>
            </w:r>
          </w:p>
        </w:tc>
        <w:tc>
          <w:tcPr>
            <w:tcW w:w="13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(18,052)</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38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8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GAAP net loss per share, basic and diluted </w:t>
            </w:r>
            <w:r>
              <w:rPr>
                <w:rFonts w:ascii="Times New Roman" w:cs="Times New Roman" w:eastAsia="Times New Roman" w:hAnsi="Times New Roman"/>
                <w:sz w:val="23"/>
                <w:szCs w:val="23"/>
                <w:color w:val="auto"/>
                <w:vertAlign w:val="superscript"/>
              </w:rPr>
              <w:t>(1)</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EPS, diluted</w:t>
            </w: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0"/>
        </w:trPr>
        <w:tc>
          <w:tcPr>
            <w:tcW w:w="6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GAAP net loss per share, basic and diluted</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564,548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500,029</w:t>
            </w: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 adjusted EPS, diluted</w:t>
            </w:r>
          </w:p>
        </w:tc>
        <w:tc>
          <w:tcPr>
            <w:tcW w:w="1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564,722</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555,940</w:t>
            </w: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 Includes the impact of the Class A yield for the three months ended April 30, 2025.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2026-06-09T06:19:06Z</dcterms:created>
  <dcterms:modified xsi:type="dcterms:W3CDTF">2026-06-09T06:19:06Z</dcterms:modified>
</cp:coreProperties>
</file>